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10CE7" w14:textId="20D591A1" w:rsidR="007F04E2" w:rsidRPr="00404271" w:rsidRDefault="00404271" w:rsidP="00404271">
      <w:pPr>
        <w:pStyle w:val="17TableCaptionSingleLine"/>
        <w:rPr>
          <w:rFonts w:eastAsiaTheme="minorEastAsia" w:hint="eastAsia"/>
          <w:snapToGrid w:val="0"/>
          <w:lang w:eastAsia="zh-CN"/>
        </w:rPr>
      </w:pPr>
      <w:r w:rsidRPr="00404271">
        <w:rPr>
          <w:rFonts w:eastAsiaTheme="minorEastAsia"/>
          <w:b/>
          <w:bCs/>
          <w:snapToGrid w:val="0"/>
          <w:color w:val="0000FF" w:themeColor="accent1"/>
          <w:lang w:eastAsia="zh-CN"/>
        </w:rPr>
        <w:t>T</w:t>
      </w:r>
      <w:r w:rsidRPr="00404271">
        <w:rPr>
          <w:rFonts w:eastAsiaTheme="minorEastAsia" w:hint="eastAsia"/>
          <w:b/>
          <w:bCs/>
          <w:snapToGrid w:val="0"/>
          <w:color w:val="0000FF" w:themeColor="accent1"/>
          <w:lang w:eastAsia="zh-CN"/>
        </w:rPr>
        <w:t>able 2</w:t>
      </w:r>
      <w:r w:rsidRPr="00404271">
        <w:rPr>
          <w:rFonts w:eastAsiaTheme="minorEastAsia" w:hint="eastAsia"/>
          <w:b/>
          <w:bCs/>
          <w:snapToGrid w:val="0"/>
          <w:lang w:eastAsia="zh-CN"/>
        </w:rPr>
        <w:t xml:space="preserve">. </w:t>
      </w:r>
      <w:r w:rsidR="008B2FBC" w:rsidRPr="00031745">
        <w:rPr>
          <w:snapToGrid w:val="0"/>
        </w:rPr>
        <w:t>Type of Wound</w:t>
      </w:r>
      <w:r>
        <w:rPr>
          <w:rFonts w:eastAsiaTheme="minorEastAsia" w:hint="eastAsia"/>
          <w:snapToGrid w:val="0"/>
          <w:lang w:eastAsia="zh-CN"/>
        </w:rPr>
        <w:t>.</w:t>
      </w:r>
    </w:p>
    <w:tbl>
      <w:tblPr>
        <w:tblW w:w="4900" w:type="pct"/>
        <w:jc w:val="center"/>
        <w:tblBorders>
          <w:bottom w:val="single" w:sz="8" w:space="0" w:color="92CDDC" w:themeColor="accent4"/>
        </w:tblBorders>
        <w:tblLayout w:type="fixed"/>
        <w:tblLook w:val="04A0" w:firstRow="1" w:lastRow="0" w:firstColumn="1" w:lastColumn="0" w:noHBand="0" w:noVBand="1"/>
      </w:tblPr>
      <w:tblGrid>
        <w:gridCol w:w="1009"/>
        <w:gridCol w:w="973"/>
        <w:gridCol w:w="1745"/>
        <w:gridCol w:w="2576"/>
        <w:gridCol w:w="3912"/>
      </w:tblGrid>
      <w:tr w:rsidR="007F04E2" w:rsidRPr="00031745" w14:paraId="4FD73026" w14:textId="77777777" w:rsidTr="00BE760D">
        <w:trPr>
          <w:trHeight w:val="20"/>
          <w:tblHeader/>
          <w:jc w:val="center"/>
        </w:trPr>
        <w:tc>
          <w:tcPr>
            <w:tcW w:w="1423" w:type="dxa"/>
            <w:shd w:val="clear" w:color="auto" w:fill="DAEEF3" w:themeFill="accent3"/>
            <w:vAlign w:val="center"/>
          </w:tcPr>
          <w:p w14:paraId="7398E164" w14:textId="77777777" w:rsidR="007F04E2" w:rsidRPr="00031745" w:rsidRDefault="007F04E2" w:rsidP="00554B19">
            <w:pPr>
              <w:pStyle w:val="19TableHead"/>
              <w:rPr>
                <w:snapToGrid w:val="0"/>
              </w:rPr>
            </w:pPr>
            <w:r w:rsidRPr="00031745">
              <w:rPr>
                <w:snapToGrid w:val="0"/>
              </w:rPr>
              <w:t>Type of Wound</w:t>
            </w:r>
          </w:p>
        </w:tc>
        <w:tc>
          <w:tcPr>
            <w:tcW w:w="1367" w:type="dxa"/>
            <w:shd w:val="clear" w:color="auto" w:fill="DAEEF3" w:themeFill="accent3"/>
            <w:vAlign w:val="center"/>
          </w:tcPr>
          <w:p w14:paraId="4B0BB3B0" w14:textId="77777777" w:rsidR="007F04E2" w:rsidRPr="00031745" w:rsidRDefault="007F04E2" w:rsidP="00554B19">
            <w:pPr>
              <w:pStyle w:val="19TableHead"/>
              <w:rPr>
                <w:snapToGrid w:val="0"/>
              </w:rPr>
            </w:pPr>
            <w:r w:rsidRPr="00031745">
              <w:rPr>
                <w:snapToGrid w:val="0"/>
              </w:rPr>
              <w:t>Study</w:t>
            </w:r>
          </w:p>
        </w:tc>
        <w:tc>
          <w:tcPr>
            <w:tcW w:w="2552" w:type="dxa"/>
            <w:shd w:val="clear" w:color="auto" w:fill="DAEEF3" w:themeFill="accent3"/>
            <w:vAlign w:val="center"/>
          </w:tcPr>
          <w:p w14:paraId="1AF9323E" w14:textId="77777777" w:rsidR="007F04E2" w:rsidRPr="00031745" w:rsidRDefault="007F04E2" w:rsidP="00554B19">
            <w:pPr>
              <w:pStyle w:val="19TableHead"/>
              <w:rPr>
                <w:snapToGrid w:val="0"/>
              </w:rPr>
            </w:pPr>
            <w:r w:rsidRPr="00031745">
              <w:rPr>
                <w:snapToGrid w:val="0"/>
              </w:rPr>
              <w:t>Participants</w:t>
            </w:r>
          </w:p>
        </w:tc>
        <w:tc>
          <w:tcPr>
            <w:tcW w:w="3827" w:type="dxa"/>
            <w:shd w:val="clear" w:color="auto" w:fill="DAEEF3" w:themeFill="accent3"/>
            <w:vAlign w:val="center"/>
          </w:tcPr>
          <w:p w14:paraId="65093D0D" w14:textId="77777777" w:rsidR="007F04E2" w:rsidRPr="00031745" w:rsidRDefault="007F04E2" w:rsidP="00554B19">
            <w:pPr>
              <w:pStyle w:val="19TableHead"/>
              <w:rPr>
                <w:snapToGrid w:val="0"/>
              </w:rPr>
            </w:pPr>
            <w:r w:rsidRPr="00031745">
              <w:rPr>
                <w:snapToGrid w:val="0"/>
              </w:rPr>
              <w:t>Study design</w:t>
            </w:r>
            <w:r w:rsidRPr="00031745">
              <w:rPr>
                <w:rFonts w:eastAsiaTheme="minorEastAsia" w:hint="eastAsia"/>
                <w:snapToGrid w:val="0"/>
                <w:lang w:eastAsia="zh-CN"/>
              </w:rPr>
              <w:t xml:space="preserve"> </w:t>
            </w:r>
            <w:r w:rsidRPr="00031745">
              <w:rPr>
                <w:snapToGrid w:val="0"/>
              </w:rPr>
              <w:t>Intervention and Control</w:t>
            </w:r>
          </w:p>
        </w:tc>
        <w:tc>
          <w:tcPr>
            <w:tcW w:w="5877" w:type="dxa"/>
            <w:shd w:val="clear" w:color="auto" w:fill="DAEEF3" w:themeFill="accent3"/>
            <w:vAlign w:val="center"/>
          </w:tcPr>
          <w:p w14:paraId="2E781555" w14:textId="77777777" w:rsidR="007F04E2" w:rsidRPr="00031745" w:rsidRDefault="007F04E2" w:rsidP="00554B19">
            <w:pPr>
              <w:pStyle w:val="19TableHead"/>
              <w:rPr>
                <w:snapToGrid w:val="0"/>
              </w:rPr>
            </w:pPr>
            <w:r w:rsidRPr="00031745">
              <w:rPr>
                <w:snapToGrid w:val="0"/>
              </w:rPr>
              <w:t>Results</w:t>
            </w:r>
          </w:p>
        </w:tc>
      </w:tr>
      <w:tr w:rsidR="007F04E2" w:rsidRPr="00031745" w14:paraId="45B96590" w14:textId="77777777" w:rsidTr="00BE760D">
        <w:trPr>
          <w:trHeight w:val="20"/>
          <w:jc w:val="center"/>
        </w:trPr>
        <w:tc>
          <w:tcPr>
            <w:tcW w:w="1423" w:type="dxa"/>
            <w:vMerge w:val="restart"/>
            <w:vAlign w:val="center"/>
          </w:tcPr>
          <w:p w14:paraId="0D5F0C95" w14:textId="77777777" w:rsidR="007F04E2" w:rsidRPr="00031745" w:rsidRDefault="007F04E2" w:rsidP="007F04E2">
            <w:pPr>
              <w:pStyle w:val="21TableBodyMiddle"/>
              <w:rPr>
                <w:snapToGrid w:val="0"/>
              </w:rPr>
            </w:pPr>
            <w:r w:rsidRPr="00031745">
              <w:rPr>
                <w:snapToGrid w:val="0"/>
              </w:rPr>
              <w:t>Burn</w:t>
            </w:r>
          </w:p>
        </w:tc>
        <w:tc>
          <w:tcPr>
            <w:tcW w:w="1367" w:type="dxa"/>
            <w:vAlign w:val="center"/>
          </w:tcPr>
          <w:p w14:paraId="12725D64" w14:textId="77777777" w:rsidR="007F04E2" w:rsidRPr="00031745" w:rsidRDefault="007F04E2" w:rsidP="007F04E2">
            <w:pPr>
              <w:pStyle w:val="21TableBodyMiddle"/>
              <w:rPr>
                <w:snapToGrid w:val="0"/>
              </w:rPr>
            </w:pPr>
            <w:r w:rsidRPr="00031745">
              <w:rPr>
                <w:snapToGrid w:val="0"/>
              </w:rPr>
              <w:t>Alinejad F et al. 2018.</w:t>
            </w:r>
          </w:p>
        </w:tc>
        <w:tc>
          <w:tcPr>
            <w:tcW w:w="2552" w:type="dxa"/>
            <w:vAlign w:val="center"/>
          </w:tcPr>
          <w:p w14:paraId="48756DB7" w14:textId="77777777" w:rsidR="007F04E2" w:rsidRPr="00031745" w:rsidRDefault="007F04E2" w:rsidP="007F04E2">
            <w:pPr>
              <w:pStyle w:val="21TableBodyMiddle"/>
              <w:rPr>
                <w:snapToGrid w:val="0"/>
              </w:rPr>
            </w:pPr>
            <w:r w:rsidRPr="00031745">
              <w:rPr>
                <w:snapToGrid w:val="0"/>
              </w:rPr>
              <w:t>Patients with infected full thickness burns</w:t>
            </w:r>
          </w:p>
          <w:p w14:paraId="5BFEDBA6" w14:textId="77777777" w:rsidR="007F04E2" w:rsidRPr="00031745" w:rsidRDefault="007F04E2" w:rsidP="007F04E2">
            <w:pPr>
              <w:pStyle w:val="21TableBodyMiddle"/>
              <w:rPr>
                <w:i/>
                <w:snapToGrid w:val="0"/>
              </w:rPr>
            </w:pPr>
            <w:r w:rsidRPr="00031745">
              <w:rPr>
                <w:i/>
                <w:snapToGrid w:val="0"/>
              </w:rPr>
              <w:t>n = 30</w:t>
            </w:r>
          </w:p>
        </w:tc>
        <w:tc>
          <w:tcPr>
            <w:tcW w:w="3827" w:type="dxa"/>
            <w:vAlign w:val="center"/>
          </w:tcPr>
          <w:p w14:paraId="5B3D44CC" w14:textId="77777777" w:rsidR="007F04E2" w:rsidRPr="00031745" w:rsidRDefault="007F04E2" w:rsidP="007F04E2">
            <w:pPr>
              <w:pStyle w:val="21TableBodyMiddle"/>
              <w:rPr>
                <w:i/>
                <w:snapToGrid w:val="0"/>
              </w:rPr>
            </w:pPr>
            <w:r w:rsidRPr="00031745">
              <w:rPr>
                <w:i/>
                <w:snapToGrid w:val="0"/>
              </w:rPr>
              <w:t>Repeated Measures Design</w:t>
            </w:r>
          </w:p>
          <w:p w14:paraId="5885299D"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Silver nano-crystalline dressings: Acticoat and Agcoat</w:t>
            </w:r>
          </w:p>
        </w:tc>
        <w:tc>
          <w:tcPr>
            <w:tcW w:w="5877" w:type="dxa"/>
            <w:vAlign w:val="center"/>
          </w:tcPr>
          <w:p w14:paraId="079A4E45" w14:textId="77777777" w:rsidR="007F04E2" w:rsidRPr="00031745" w:rsidRDefault="007F04E2" w:rsidP="007F04E2">
            <w:pPr>
              <w:pStyle w:val="21TableBodyMiddle"/>
              <w:rPr>
                <w:snapToGrid w:val="0"/>
              </w:rPr>
            </w:pPr>
            <w:r w:rsidRPr="00031745">
              <w:rPr>
                <w:snapToGrid w:val="0"/>
              </w:rPr>
              <w:t>There was not a significant difference found between the 30 subjects treated with acticoat and with agcoat. Both silver nano-crystalline treatment options were effective in controlling microbial growth and decreasing infection in the wounds. Both treatments also increased wound healing time and skin graft improvement.</w:t>
            </w:r>
          </w:p>
        </w:tc>
      </w:tr>
      <w:tr w:rsidR="007F04E2" w:rsidRPr="00031745" w14:paraId="3BF63323" w14:textId="77777777" w:rsidTr="00BE760D">
        <w:trPr>
          <w:trHeight w:val="20"/>
          <w:jc w:val="center"/>
        </w:trPr>
        <w:tc>
          <w:tcPr>
            <w:tcW w:w="1423" w:type="dxa"/>
            <w:vMerge/>
            <w:vAlign w:val="center"/>
          </w:tcPr>
          <w:p w14:paraId="747A1D80" w14:textId="77777777" w:rsidR="007F04E2" w:rsidRPr="00031745" w:rsidRDefault="007F04E2" w:rsidP="007F04E2">
            <w:pPr>
              <w:pStyle w:val="21TableBodyMiddle"/>
              <w:rPr>
                <w:snapToGrid w:val="0"/>
              </w:rPr>
            </w:pPr>
          </w:p>
        </w:tc>
        <w:tc>
          <w:tcPr>
            <w:tcW w:w="1367" w:type="dxa"/>
            <w:vAlign w:val="center"/>
          </w:tcPr>
          <w:p w14:paraId="0BCAAFB0" w14:textId="77777777" w:rsidR="007F04E2" w:rsidRPr="00031745" w:rsidRDefault="007F04E2" w:rsidP="007F04E2">
            <w:pPr>
              <w:pStyle w:val="21TableBodyMiddle"/>
              <w:rPr>
                <w:snapToGrid w:val="0"/>
              </w:rPr>
            </w:pPr>
            <w:r w:rsidRPr="00031745">
              <w:rPr>
                <w:snapToGrid w:val="0"/>
              </w:rPr>
              <w:t>Choi et al, 2018</w:t>
            </w:r>
          </w:p>
        </w:tc>
        <w:tc>
          <w:tcPr>
            <w:tcW w:w="2552" w:type="dxa"/>
            <w:vAlign w:val="center"/>
          </w:tcPr>
          <w:p w14:paraId="79C2B3E6" w14:textId="77777777" w:rsidR="007F04E2" w:rsidRPr="00031745" w:rsidRDefault="007F04E2" w:rsidP="007F04E2">
            <w:pPr>
              <w:pStyle w:val="21TableBodyMiddle"/>
              <w:rPr>
                <w:snapToGrid w:val="0"/>
              </w:rPr>
            </w:pPr>
            <w:r w:rsidRPr="00031745">
              <w:rPr>
                <w:snapToGrid w:val="0"/>
              </w:rPr>
              <w:t>Children with upper or lower extremity burns</w:t>
            </w:r>
          </w:p>
          <w:p w14:paraId="3D7C6AE7" w14:textId="77777777" w:rsidR="007F04E2" w:rsidRPr="00031745" w:rsidRDefault="007F04E2" w:rsidP="007F04E2">
            <w:pPr>
              <w:pStyle w:val="21TableBodyMiddle"/>
              <w:rPr>
                <w:i/>
                <w:snapToGrid w:val="0"/>
              </w:rPr>
            </w:pPr>
            <w:r w:rsidRPr="00031745">
              <w:rPr>
                <w:i/>
                <w:snapToGrid w:val="0"/>
              </w:rPr>
              <w:t>n = 96</w:t>
            </w:r>
          </w:p>
        </w:tc>
        <w:tc>
          <w:tcPr>
            <w:tcW w:w="3827" w:type="dxa"/>
            <w:vAlign w:val="center"/>
          </w:tcPr>
          <w:p w14:paraId="691DEC91" w14:textId="77777777" w:rsidR="007F04E2" w:rsidRPr="00031745" w:rsidRDefault="007F04E2" w:rsidP="007F04E2">
            <w:pPr>
              <w:pStyle w:val="21TableBodyMiddle"/>
              <w:rPr>
                <w:i/>
                <w:snapToGrid w:val="0"/>
              </w:rPr>
            </w:pPr>
            <w:r w:rsidRPr="00031745">
              <w:rPr>
                <w:i/>
                <w:snapToGrid w:val="0"/>
              </w:rPr>
              <w:t>Randomized Control Trial</w:t>
            </w:r>
          </w:p>
          <w:p w14:paraId="3C096FE9" w14:textId="77777777" w:rsidR="007F04E2" w:rsidRPr="00031745" w:rsidRDefault="007F04E2" w:rsidP="007F04E2">
            <w:pPr>
              <w:pStyle w:val="21TableBodyMiddle"/>
              <w:rPr>
                <w:snapToGrid w:val="0"/>
              </w:rPr>
            </w:pPr>
            <w:r w:rsidRPr="00031745">
              <w:rPr>
                <w:i/>
                <w:snapToGrid w:val="0"/>
              </w:rPr>
              <w:t>Intervention:</w:t>
            </w:r>
            <w:r w:rsidRPr="00031745">
              <w:rPr>
                <w:snapToGrid w:val="0"/>
              </w:rPr>
              <w:t xml:space="preserve"> Silver based dressing (Mepitel Ag)</w:t>
            </w:r>
          </w:p>
          <w:p w14:paraId="51171370" w14:textId="77777777" w:rsidR="007F04E2" w:rsidRPr="00031745" w:rsidRDefault="007F04E2" w:rsidP="007F04E2">
            <w:pPr>
              <w:pStyle w:val="21TableBodyMiddle"/>
              <w:rPr>
                <w:snapToGrid w:val="0"/>
              </w:rPr>
            </w:pPr>
            <w:r w:rsidRPr="00031745">
              <w:rPr>
                <w:snapToGrid w:val="0"/>
              </w:rPr>
              <w:t>Control: Antibiotic ointment</w:t>
            </w:r>
          </w:p>
        </w:tc>
        <w:tc>
          <w:tcPr>
            <w:tcW w:w="5877" w:type="dxa"/>
            <w:vAlign w:val="center"/>
          </w:tcPr>
          <w:p w14:paraId="7D5188B3" w14:textId="77777777" w:rsidR="007F04E2" w:rsidRPr="00031745" w:rsidRDefault="007F04E2" w:rsidP="007F04E2">
            <w:pPr>
              <w:pStyle w:val="21TableBodyMiddle"/>
              <w:rPr>
                <w:snapToGrid w:val="0"/>
              </w:rPr>
            </w:pPr>
            <w:r w:rsidRPr="00031745">
              <w:rPr>
                <w:snapToGrid w:val="0"/>
              </w:rPr>
              <w:t>Mepitel Ag was found to reduce the rate of wound healing (considering the thickness of the burns and infection). The prevalence of wound infection between both groups was minimally different. Children who received the standard antibiotic ointment were less likely to need 4+ visits to the burn clinic as opposed to the children who received Mepitel Ag. Standard antibiotic ointment significantly increases the rate of wound healing when compared to silver-based dressing.</w:t>
            </w:r>
          </w:p>
        </w:tc>
      </w:tr>
      <w:tr w:rsidR="007F04E2" w:rsidRPr="00031745" w14:paraId="3DA6AD82" w14:textId="77777777" w:rsidTr="00BE760D">
        <w:trPr>
          <w:trHeight w:val="20"/>
          <w:jc w:val="center"/>
        </w:trPr>
        <w:tc>
          <w:tcPr>
            <w:tcW w:w="1423" w:type="dxa"/>
            <w:vMerge/>
            <w:vAlign w:val="center"/>
          </w:tcPr>
          <w:p w14:paraId="6F14A625" w14:textId="77777777" w:rsidR="007F04E2" w:rsidRPr="00031745" w:rsidRDefault="007F04E2" w:rsidP="007F04E2">
            <w:pPr>
              <w:pStyle w:val="21TableBodyMiddle"/>
              <w:rPr>
                <w:snapToGrid w:val="0"/>
              </w:rPr>
            </w:pPr>
          </w:p>
        </w:tc>
        <w:tc>
          <w:tcPr>
            <w:tcW w:w="1367" w:type="dxa"/>
            <w:vAlign w:val="center"/>
          </w:tcPr>
          <w:p w14:paraId="0636D0E2" w14:textId="77777777" w:rsidR="007F04E2" w:rsidRPr="00031745" w:rsidRDefault="007F04E2" w:rsidP="007F04E2">
            <w:pPr>
              <w:pStyle w:val="21TableBodyMiddle"/>
              <w:rPr>
                <w:snapToGrid w:val="0"/>
              </w:rPr>
            </w:pPr>
            <w:r w:rsidRPr="00031745">
              <w:rPr>
                <w:snapToGrid w:val="0"/>
              </w:rPr>
              <w:t>Ciprandi, 2018</w:t>
            </w:r>
          </w:p>
        </w:tc>
        <w:tc>
          <w:tcPr>
            <w:tcW w:w="2552" w:type="dxa"/>
            <w:vAlign w:val="center"/>
          </w:tcPr>
          <w:p w14:paraId="7FF80FE4" w14:textId="77777777" w:rsidR="007F04E2" w:rsidRPr="00031745" w:rsidRDefault="007F04E2" w:rsidP="007F04E2">
            <w:pPr>
              <w:pStyle w:val="21TableBodyMiddle"/>
              <w:rPr>
                <w:iCs/>
                <w:snapToGrid w:val="0"/>
              </w:rPr>
            </w:pPr>
            <w:r w:rsidRPr="00031745">
              <w:rPr>
                <w:iCs/>
                <w:snapToGrid w:val="0"/>
              </w:rPr>
              <w:t>Children with burns</w:t>
            </w:r>
          </w:p>
          <w:p w14:paraId="6A869AF5" w14:textId="77777777" w:rsidR="007F04E2" w:rsidRPr="00031745" w:rsidRDefault="007F04E2" w:rsidP="007F04E2">
            <w:pPr>
              <w:pStyle w:val="21TableBodyMiddle"/>
              <w:rPr>
                <w:snapToGrid w:val="0"/>
              </w:rPr>
            </w:pPr>
            <w:r w:rsidRPr="00031745">
              <w:rPr>
                <w:i/>
                <w:snapToGrid w:val="0"/>
              </w:rPr>
              <w:t>n</w:t>
            </w:r>
            <w:r w:rsidRPr="00031745">
              <w:rPr>
                <w:snapToGrid w:val="0"/>
              </w:rPr>
              <w:t xml:space="preserve"> = 198</w:t>
            </w:r>
          </w:p>
        </w:tc>
        <w:tc>
          <w:tcPr>
            <w:tcW w:w="3827" w:type="dxa"/>
            <w:vAlign w:val="center"/>
          </w:tcPr>
          <w:p w14:paraId="48F39008" w14:textId="77777777" w:rsidR="007F04E2" w:rsidRPr="00031745" w:rsidRDefault="007F04E2" w:rsidP="007F04E2">
            <w:pPr>
              <w:pStyle w:val="21TableBodyMiddle"/>
              <w:rPr>
                <w:i/>
                <w:snapToGrid w:val="0"/>
              </w:rPr>
            </w:pPr>
            <w:r w:rsidRPr="00031745">
              <w:rPr>
                <w:i/>
                <w:snapToGrid w:val="0"/>
              </w:rPr>
              <w:t>Retrospective Systematic Review</w:t>
            </w:r>
          </w:p>
          <w:p w14:paraId="42E95361"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Prontosan – polyhexanide-containing product</w:t>
            </w:r>
          </w:p>
        </w:tc>
        <w:tc>
          <w:tcPr>
            <w:tcW w:w="5877" w:type="dxa"/>
            <w:vAlign w:val="center"/>
          </w:tcPr>
          <w:p w14:paraId="0C308D3A" w14:textId="77777777" w:rsidR="007F04E2" w:rsidRPr="00031745" w:rsidRDefault="007F04E2" w:rsidP="007F04E2">
            <w:pPr>
              <w:pStyle w:val="21TableBodyMiddle"/>
              <w:rPr>
                <w:snapToGrid w:val="0"/>
              </w:rPr>
            </w:pPr>
            <w:r w:rsidRPr="00031745">
              <w:rPr>
                <w:snapToGrid w:val="0"/>
              </w:rPr>
              <w:t>Prontosan products are safe for use on pediatric burns, but some adverse events have been noted, such as itching, rash, and hyper-granulating tissue. The AEs were not severe and resolved.</w:t>
            </w:r>
          </w:p>
        </w:tc>
      </w:tr>
      <w:tr w:rsidR="007F04E2" w:rsidRPr="00031745" w14:paraId="47B92C69" w14:textId="77777777" w:rsidTr="00BE760D">
        <w:trPr>
          <w:trHeight w:val="20"/>
          <w:jc w:val="center"/>
        </w:trPr>
        <w:tc>
          <w:tcPr>
            <w:tcW w:w="1423" w:type="dxa"/>
            <w:vMerge/>
            <w:vAlign w:val="center"/>
          </w:tcPr>
          <w:p w14:paraId="3E5B19FC" w14:textId="77777777" w:rsidR="007F04E2" w:rsidRPr="00031745" w:rsidRDefault="007F04E2" w:rsidP="007F04E2">
            <w:pPr>
              <w:pStyle w:val="21TableBodyMiddle"/>
              <w:rPr>
                <w:snapToGrid w:val="0"/>
              </w:rPr>
            </w:pPr>
          </w:p>
        </w:tc>
        <w:tc>
          <w:tcPr>
            <w:tcW w:w="1367" w:type="dxa"/>
            <w:vAlign w:val="center"/>
          </w:tcPr>
          <w:p w14:paraId="4800B682" w14:textId="77777777" w:rsidR="007F04E2" w:rsidRPr="00031745" w:rsidRDefault="007F04E2" w:rsidP="007F04E2">
            <w:pPr>
              <w:pStyle w:val="21TableBodyMiddle"/>
              <w:rPr>
                <w:snapToGrid w:val="0"/>
              </w:rPr>
            </w:pPr>
            <w:r w:rsidRPr="00031745">
              <w:rPr>
                <w:snapToGrid w:val="0"/>
              </w:rPr>
              <w:t>de Graaf et al, 2017</w:t>
            </w:r>
          </w:p>
        </w:tc>
        <w:tc>
          <w:tcPr>
            <w:tcW w:w="2552" w:type="dxa"/>
            <w:vAlign w:val="center"/>
          </w:tcPr>
          <w:p w14:paraId="5E666A86" w14:textId="77777777" w:rsidR="007F04E2" w:rsidRPr="00031745" w:rsidRDefault="007F04E2" w:rsidP="007F04E2">
            <w:pPr>
              <w:pStyle w:val="21TableBodyMiddle"/>
              <w:rPr>
                <w:snapToGrid w:val="0"/>
              </w:rPr>
            </w:pPr>
            <w:r w:rsidRPr="00031745">
              <w:rPr>
                <w:snapToGrid w:val="0"/>
              </w:rPr>
              <w:t>Partial thickness scalds up to 10% TBSA</w:t>
            </w:r>
          </w:p>
          <w:p w14:paraId="1A117398" w14:textId="77777777" w:rsidR="007F04E2" w:rsidRPr="00031745" w:rsidRDefault="007F04E2" w:rsidP="007F04E2">
            <w:pPr>
              <w:pStyle w:val="21TableBodyMiddle"/>
              <w:rPr>
                <w:snapToGrid w:val="0"/>
              </w:rPr>
            </w:pPr>
            <w:r w:rsidRPr="00031745">
              <w:rPr>
                <w:i/>
                <w:snapToGrid w:val="0"/>
              </w:rPr>
              <w:t>n = 769</w:t>
            </w:r>
          </w:p>
        </w:tc>
        <w:tc>
          <w:tcPr>
            <w:tcW w:w="3827" w:type="dxa"/>
            <w:vAlign w:val="center"/>
          </w:tcPr>
          <w:p w14:paraId="2A8C4AB0" w14:textId="77777777" w:rsidR="007F04E2" w:rsidRPr="00031745" w:rsidRDefault="007F04E2" w:rsidP="007F04E2">
            <w:pPr>
              <w:pStyle w:val="21TableBodyMiddle"/>
              <w:rPr>
                <w:i/>
                <w:snapToGrid w:val="0"/>
              </w:rPr>
            </w:pPr>
            <w:r w:rsidRPr="00031745">
              <w:rPr>
                <w:i/>
                <w:snapToGrid w:val="0"/>
              </w:rPr>
              <w:t>Retrospective Review</w:t>
            </w:r>
          </w:p>
          <w:p w14:paraId="631A0BD1"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Hydrofiber dressing or silver sulfadiazine (SSD), Cerium nitrate 0 silver sulfadiazine (CN-SSD)</w:t>
            </w:r>
          </w:p>
        </w:tc>
        <w:tc>
          <w:tcPr>
            <w:tcW w:w="5877" w:type="dxa"/>
            <w:vAlign w:val="center"/>
          </w:tcPr>
          <w:p w14:paraId="79442E82" w14:textId="77777777" w:rsidR="007F04E2" w:rsidRPr="00031745" w:rsidRDefault="007F04E2" w:rsidP="007F04E2">
            <w:pPr>
              <w:pStyle w:val="21TableBodyMiddle"/>
              <w:rPr>
                <w:snapToGrid w:val="0"/>
              </w:rPr>
            </w:pPr>
            <w:r w:rsidRPr="00031745">
              <w:rPr>
                <w:snapToGrid w:val="0"/>
              </w:rPr>
              <w:t>Patients in the CN-SSD group had decreased healing time, while patients in the SSD group had shorter LOS.</w:t>
            </w:r>
          </w:p>
        </w:tc>
      </w:tr>
      <w:tr w:rsidR="007F04E2" w:rsidRPr="00031745" w14:paraId="76984388" w14:textId="77777777" w:rsidTr="00BE760D">
        <w:trPr>
          <w:trHeight w:val="20"/>
          <w:jc w:val="center"/>
        </w:trPr>
        <w:tc>
          <w:tcPr>
            <w:tcW w:w="1423" w:type="dxa"/>
            <w:vMerge/>
            <w:vAlign w:val="center"/>
          </w:tcPr>
          <w:p w14:paraId="25E9834D" w14:textId="77777777" w:rsidR="007F04E2" w:rsidRPr="00031745" w:rsidRDefault="007F04E2" w:rsidP="007F04E2">
            <w:pPr>
              <w:pStyle w:val="21TableBodyMiddle"/>
              <w:rPr>
                <w:snapToGrid w:val="0"/>
              </w:rPr>
            </w:pPr>
          </w:p>
        </w:tc>
        <w:tc>
          <w:tcPr>
            <w:tcW w:w="1367" w:type="dxa"/>
            <w:vAlign w:val="center"/>
          </w:tcPr>
          <w:p w14:paraId="0A5EDB92" w14:textId="77777777" w:rsidR="007F04E2" w:rsidRPr="00031745" w:rsidRDefault="007F04E2" w:rsidP="007F04E2">
            <w:pPr>
              <w:pStyle w:val="21TableBodyMiddle"/>
              <w:rPr>
                <w:snapToGrid w:val="0"/>
              </w:rPr>
            </w:pPr>
            <w:r w:rsidRPr="00031745">
              <w:rPr>
                <w:snapToGrid w:val="0"/>
              </w:rPr>
              <w:t>Fidvi et al. 2023</w:t>
            </w:r>
          </w:p>
        </w:tc>
        <w:tc>
          <w:tcPr>
            <w:tcW w:w="2552" w:type="dxa"/>
            <w:vAlign w:val="center"/>
          </w:tcPr>
          <w:p w14:paraId="741A2529" w14:textId="77777777" w:rsidR="007F04E2" w:rsidRPr="00031745" w:rsidRDefault="007F04E2" w:rsidP="007F04E2">
            <w:pPr>
              <w:pStyle w:val="21TableBodyMiddle"/>
              <w:rPr>
                <w:snapToGrid w:val="0"/>
              </w:rPr>
            </w:pPr>
            <w:r w:rsidRPr="00031745">
              <w:rPr>
                <w:snapToGrid w:val="0"/>
              </w:rPr>
              <w:t>Pediatric patients less than 10 years with less than 30% TBSA scald burns</w:t>
            </w:r>
          </w:p>
          <w:p w14:paraId="2A108DC8" w14:textId="77777777" w:rsidR="007F04E2" w:rsidRPr="00031745" w:rsidRDefault="007F04E2" w:rsidP="007F04E2">
            <w:pPr>
              <w:pStyle w:val="21TableBodyMiddle"/>
              <w:rPr>
                <w:snapToGrid w:val="0"/>
              </w:rPr>
            </w:pPr>
            <w:r w:rsidRPr="00031745">
              <w:rPr>
                <w:i/>
                <w:iCs/>
                <w:snapToGrid w:val="0"/>
              </w:rPr>
              <w:t>n = 53</w:t>
            </w:r>
          </w:p>
        </w:tc>
        <w:tc>
          <w:tcPr>
            <w:tcW w:w="3827" w:type="dxa"/>
            <w:vAlign w:val="center"/>
          </w:tcPr>
          <w:p w14:paraId="581BFD1C" w14:textId="77777777" w:rsidR="007F04E2" w:rsidRPr="00031745" w:rsidRDefault="007F04E2" w:rsidP="007F04E2">
            <w:pPr>
              <w:pStyle w:val="21TableBodyMiddle"/>
              <w:rPr>
                <w:i/>
                <w:snapToGrid w:val="0"/>
              </w:rPr>
            </w:pPr>
            <w:r w:rsidRPr="00031745">
              <w:rPr>
                <w:i/>
                <w:snapToGrid w:val="0"/>
              </w:rPr>
              <w:t>Retrospective study</w:t>
            </w:r>
          </w:p>
          <w:p w14:paraId="44C9F1A4" w14:textId="77777777" w:rsidR="007F04E2" w:rsidRPr="00031745" w:rsidRDefault="007F04E2" w:rsidP="007F04E2">
            <w:pPr>
              <w:pStyle w:val="21TableBodyMiddle"/>
              <w:rPr>
                <w:i/>
                <w:snapToGrid w:val="0"/>
              </w:rPr>
            </w:pPr>
            <w:r w:rsidRPr="00031745">
              <w:rPr>
                <w:i/>
                <w:snapToGrid w:val="0"/>
              </w:rPr>
              <w:t xml:space="preserve">Intervention: </w:t>
            </w:r>
            <w:r w:rsidRPr="00031745">
              <w:rPr>
                <w:iCs/>
                <w:snapToGrid w:val="0"/>
              </w:rPr>
              <w:t>All patients were treated with a collagen sheet dressing.</w:t>
            </w:r>
          </w:p>
        </w:tc>
        <w:tc>
          <w:tcPr>
            <w:tcW w:w="5877" w:type="dxa"/>
            <w:vAlign w:val="center"/>
          </w:tcPr>
          <w:p w14:paraId="1247EB96" w14:textId="77777777" w:rsidR="007F04E2" w:rsidRPr="00031745" w:rsidRDefault="007F04E2" w:rsidP="007F04E2">
            <w:pPr>
              <w:pStyle w:val="21TableBodyMiddle"/>
              <w:rPr>
                <w:snapToGrid w:val="0"/>
              </w:rPr>
            </w:pPr>
            <w:r w:rsidRPr="00031745">
              <w:rPr>
                <w:snapToGrid w:val="0"/>
              </w:rPr>
              <w:t>Collagen dressings should be the mainstay in dressing of burn</w:t>
            </w:r>
          </w:p>
          <w:p w14:paraId="6C258626" w14:textId="77777777" w:rsidR="007F04E2" w:rsidRPr="00031745" w:rsidRDefault="007F04E2" w:rsidP="007F04E2">
            <w:pPr>
              <w:pStyle w:val="21TableBodyMiddle"/>
              <w:rPr>
                <w:snapToGrid w:val="0"/>
              </w:rPr>
            </w:pPr>
            <w:r w:rsidRPr="00031745">
              <w:rPr>
                <w:snapToGrid w:val="0"/>
              </w:rPr>
              <w:t>wounds especially superficial wounds in children. It was concluded that no time stamp can be put on the timing of collagen application.</w:t>
            </w:r>
          </w:p>
        </w:tc>
      </w:tr>
      <w:tr w:rsidR="007F04E2" w:rsidRPr="00031745" w14:paraId="63B2DC5D" w14:textId="77777777" w:rsidTr="00BE760D">
        <w:trPr>
          <w:trHeight w:val="20"/>
          <w:jc w:val="center"/>
        </w:trPr>
        <w:tc>
          <w:tcPr>
            <w:tcW w:w="1423" w:type="dxa"/>
            <w:vMerge/>
            <w:vAlign w:val="center"/>
          </w:tcPr>
          <w:p w14:paraId="4A63AF9E" w14:textId="77777777" w:rsidR="007F04E2" w:rsidRPr="00031745" w:rsidRDefault="007F04E2" w:rsidP="007F04E2">
            <w:pPr>
              <w:pStyle w:val="21TableBodyMiddle"/>
              <w:rPr>
                <w:snapToGrid w:val="0"/>
              </w:rPr>
            </w:pPr>
          </w:p>
        </w:tc>
        <w:tc>
          <w:tcPr>
            <w:tcW w:w="1367" w:type="dxa"/>
            <w:vAlign w:val="center"/>
          </w:tcPr>
          <w:p w14:paraId="6D5519EF" w14:textId="77777777" w:rsidR="007F04E2" w:rsidRPr="00031745" w:rsidRDefault="007F04E2" w:rsidP="007F04E2">
            <w:pPr>
              <w:pStyle w:val="21TableBodyMiddle"/>
              <w:rPr>
                <w:snapToGrid w:val="0"/>
              </w:rPr>
            </w:pPr>
            <w:r w:rsidRPr="00031745">
              <w:rPr>
                <w:snapToGrid w:val="0"/>
              </w:rPr>
              <w:t>Gagnon. 2015</w:t>
            </w:r>
          </w:p>
        </w:tc>
        <w:tc>
          <w:tcPr>
            <w:tcW w:w="2552" w:type="dxa"/>
            <w:vAlign w:val="center"/>
          </w:tcPr>
          <w:p w14:paraId="74D0E859" w14:textId="77777777" w:rsidR="007F04E2" w:rsidRPr="00031745" w:rsidRDefault="007F04E2" w:rsidP="007F04E2">
            <w:pPr>
              <w:pStyle w:val="21TableBodyMiddle"/>
              <w:rPr>
                <w:snapToGrid w:val="0"/>
              </w:rPr>
            </w:pPr>
            <w:r w:rsidRPr="00031745">
              <w:rPr>
                <w:snapToGrid w:val="0"/>
              </w:rPr>
              <w:t>Patients with partial thickness burns</w:t>
            </w:r>
          </w:p>
          <w:p w14:paraId="0D6E885C" w14:textId="77777777" w:rsidR="007F04E2" w:rsidRPr="00031745" w:rsidRDefault="007F04E2" w:rsidP="007F04E2">
            <w:pPr>
              <w:pStyle w:val="21TableBodyMiddle"/>
              <w:rPr>
                <w:i/>
                <w:snapToGrid w:val="0"/>
              </w:rPr>
            </w:pPr>
            <w:r w:rsidRPr="00031745">
              <w:rPr>
                <w:i/>
                <w:snapToGrid w:val="0"/>
              </w:rPr>
              <w:t xml:space="preserve">number of participants </w:t>
            </w:r>
            <w:r w:rsidRPr="00031745">
              <w:rPr>
                <w:i/>
                <w:snapToGrid w:val="0"/>
              </w:rPr>
              <w:br/>
              <w:t>not given.</w:t>
            </w:r>
          </w:p>
        </w:tc>
        <w:tc>
          <w:tcPr>
            <w:tcW w:w="3827" w:type="dxa"/>
            <w:vAlign w:val="center"/>
          </w:tcPr>
          <w:p w14:paraId="6471E5CB" w14:textId="77777777" w:rsidR="007F04E2" w:rsidRPr="00031745" w:rsidRDefault="007F04E2" w:rsidP="007F04E2">
            <w:pPr>
              <w:pStyle w:val="21TableBodyMiddle"/>
              <w:rPr>
                <w:i/>
                <w:snapToGrid w:val="0"/>
              </w:rPr>
            </w:pPr>
            <w:r w:rsidRPr="00031745">
              <w:rPr>
                <w:i/>
                <w:snapToGrid w:val="0"/>
              </w:rPr>
              <w:t>Systematic Review</w:t>
            </w:r>
          </w:p>
          <w:p w14:paraId="00899BAE" w14:textId="77777777" w:rsidR="007F04E2" w:rsidRPr="00031745" w:rsidRDefault="007F04E2" w:rsidP="007F04E2">
            <w:pPr>
              <w:pStyle w:val="21TableBodyMiddle"/>
              <w:rPr>
                <w:snapToGrid w:val="0"/>
              </w:rPr>
            </w:pPr>
            <w:r w:rsidRPr="00031745">
              <w:rPr>
                <w:i/>
                <w:snapToGrid w:val="0"/>
              </w:rPr>
              <w:t>Intervention:</w:t>
            </w:r>
            <w:r w:rsidRPr="00031745">
              <w:rPr>
                <w:snapToGrid w:val="0"/>
              </w:rPr>
              <w:t xml:space="preserve"> Aquacel Ag closed dressings</w:t>
            </w:r>
          </w:p>
          <w:p w14:paraId="3A260A26" w14:textId="77777777" w:rsidR="007F04E2" w:rsidRPr="00031745" w:rsidRDefault="007F04E2" w:rsidP="007F04E2">
            <w:pPr>
              <w:pStyle w:val="21TableBodyMiddle"/>
              <w:rPr>
                <w:i/>
                <w:snapToGrid w:val="0"/>
              </w:rPr>
            </w:pPr>
            <w:r w:rsidRPr="00031745">
              <w:rPr>
                <w:i/>
                <w:snapToGrid w:val="0"/>
              </w:rPr>
              <w:t>Control: non-closed dressings</w:t>
            </w:r>
          </w:p>
        </w:tc>
        <w:tc>
          <w:tcPr>
            <w:tcW w:w="5877" w:type="dxa"/>
            <w:vAlign w:val="center"/>
          </w:tcPr>
          <w:p w14:paraId="60602686" w14:textId="77777777" w:rsidR="007F04E2" w:rsidRPr="00031745" w:rsidRDefault="007F04E2" w:rsidP="007F04E2">
            <w:pPr>
              <w:pStyle w:val="21TableBodyMiddle"/>
              <w:rPr>
                <w:snapToGrid w:val="0"/>
              </w:rPr>
            </w:pPr>
            <w:r w:rsidRPr="00031745">
              <w:rPr>
                <w:snapToGrid w:val="0"/>
              </w:rPr>
              <w:t>Aquacel Ag closed dressings led to decreased use of anesthesia, decreased number of dressing changes, and decreased duration of stay in inpatient settings for patients when compared to the control subjects who did not receive a closed dressing.</w:t>
            </w:r>
          </w:p>
        </w:tc>
      </w:tr>
      <w:tr w:rsidR="007F04E2" w:rsidRPr="00031745" w14:paraId="4817D85B" w14:textId="77777777" w:rsidTr="00BE760D">
        <w:trPr>
          <w:trHeight w:val="20"/>
          <w:jc w:val="center"/>
        </w:trPr>
        <w:tc>
          <w:tcPr>
            <w:tcW w:w="1423" w:type="dxa"/>
            <w:vMerge/>
            <w:vAlign w:val="center"/>
          </w:tcPr>
          <w:p w14:paraId="5FBCB506" w14:textId="77777777" w:rsidR="007F04E2" w:rsidRPr="00031745" w:rsidRDefault="007F04E2" w:rsidP="007F04E2">
            <w:pPr>
              <w:pStyle w:val="21TableBodyMiddle"/>
              <w:rPr>
                <w:snapToGrid w:val="0"/>
              </w:rPr>
            </w:pPr>
          </w:p>
        </w:tc>
        <w:tc>
          <w:tcPr>
            <w:tcW w:w="1367" w:type="dxa"/>
            <w:vAlign w:val="center"/>
          </w:tcPr>
          <w:p w14:paraId="65798DD4" w14:textId="77777777" w:rsidR="007F04E2" w:rsidRPr="00031745" w:rsidRDefault="007F04E2" w:rsidP="007F04E2">
            <w:pPr>
              <w:pStyle w:val="21TableBodyMiddle"/>
              <w:rPr>
                <w:snapToGrid w:val="0"/>
              </w:rPr>
            </w:pPr>
            <w:r w:rsidRPr="00031745">
              <w:rPr>
                <w:snapToGrid w:val="0"/>
              </w:rPr>
              <w:t>Gee Kee et al. 2015</w:t>
            </w:r>
          </w:p>
        </w:tc>
        <w:tc>
          <w:tcPr>
            <w:tcW w:w="2552" w:type="dxa"/>
            <w:vAlign w:val="center"/>
          </w:tcPr>
          <w:p w14:paraId="0342F861" w14:textId="77777777" w:rsidR="007F04E2" w:rsidRPr="00031745" w:rsidRDefault="00000000" w:rsidP="007F04E2">
            <w:pPr>
              <w:pStyle w:val="21TableBodyMiddle"/>
              <w:rPr>
                <w:snapToGrid w:val="0"/>
              </w:rPr>
            </w:pPr>
            <w:sdt>
              <w:sdtPr>
                <w:rPr>
                  <w:snapToGrid w:val="0"/>
                </w:rPr>
                <w:tag w:val="goog_rdk_0"/>
                <w:id w:val="447664738"/>
              </w:sdtPr>
              <w:sdtContent>
                <w:r w:rsidR="007F04E2" w:rsidRPr="00031745">
                  <w:rPr>
                    <w:rFonts w:eastAsia="Gungsuh"/>
                    <w:snapToGrid w:val="0"/>
                  </w:rPr>
                  <w:t>Children (0-15 y/o) with clean, partial thickness burns affecting ≤ 10% of TBSA</w:t>
                </w:r>
              </w:sdtContent>
            </w:sdt>
          </w:p>
          <w:p w14:paraId="3B3F461B" w14:textId="77777777" w:rsidR="007F04E2" w:rsidRPr="00031745" w:rsidRDefault="007F04E2" w:rsidP="007F04E2">
            <w:pPr>
              <w:pStyle w:val="21TableBodyMiddle"/>
              <w:rPr>
                <w:i/>
                <w:snapToGrid w:val="0"/>
              </w:rPr>
            </w:pPr>
            <w:r w:rsidRPr="00031745">
              <w:rPr>
                <w:i/>
                <w:snapToGrid w:val="0"/>
              </w:rPr>
              <w:t>n = 103</w:t>
            </w:r>
          </w:p>
        </w:tc>
        <w:tc>
          <w:tcPr>
            <w:tcW w:w="3827" w:type="dxa"/>
            <w:vAlign w:val="center"/>
          </w:tcPr>
          <w:p w14:paraId="05713B61" w14:textId="77777777" w:rsidR="007F04E2" w:rsidRPr="00031745" w:rsidRDefault="007F04E2" w:rsidP="007F04E2">
            <w:pPr>
              <w:pStyle w:val="21TableBodyMiddle"/>
              <w:rPr>
                <w:i/>
                <w:snapToGrid w:val="0"/>
              </w:rPr>
            </w:pPr>
            <w:r w:rsidRPr="00031745">
              <w:rPr>
                <w:i/>
                <w:snapToGrid w:val="0"/>
              </w:rPr>
              <w:t>Randomized Control Trial</w:t>
            </w:r>
          </w:p>
          <w:p w14:paraId="63FF99E1" w14:textId="77777777" w:rsidR="007F04E2" w:rsidRPr="00031745" w:rsidRDefault="007F04E2" w:rsidP="007F04E2">
            <w:pPr>
              <w:pStyle w:val="21TableBodyMiddle"/>
              <w:rPr>
                <w:i/>
                <w:snapToGrid w:val="0"/>
              </w:rPr>
            </w:pPr>
            <w:r w:rsidRPr="00031745">
              <w:rPr>
                <w:i/>
                <w:snapToGrid w:val="0"/>
              </w:rPr>
              <w:t>Interventions:</w:t>
            </w:r>
          </w:p>
          <w:p w14:paraId="5FBF3BEE" w14:textId="77777777" w:rsidR="007F04E2" w:rsidRPr="00031745" w:rsidRDefault="007F04E2" w:rsidP="007F04E2">
            <w:pPr>
              <w:pStyle w:val="21TableBodyMiddle"/>
              <w:rPr>
                <w:snapToGrid w:val="0"/>
              </w:rPr>
            </w:pPr>
            <w:r w:rsidRPr="00031745">
              <w:rPr>
                <w:snapToGrid w:val="0"/>
              </w:rPr>
              <w:t>Acticoat</w:t>
            </w:r>
          </w:p>
          <w:p w14:paraId="466B0894" w14:textId="77777777" w:rsidR="007F04E2" w:rsidRPr="00031745" w:rsidRDefault="007F04E2" w:rsidP="007F04E2">
            <w:pPr>
              <w:pStyle w:val="21TableBodyMiddle"/>
              <w:rPr>
                <w:snapToGrid w:val="0"/>
              </w:rPr>
            </w:pPr>
            <w:r w:rsidRPr="00031745">
              <w:rPr>
                <w:snapToGrid w:val="0"/>
              </w:rPr>
              <w:t>Acticoat with Mepitel</w:t>
            </w:r>
          </w:p>
          <w:p w14:paraId="1334FDEB" w14:textId="77777777" w:rsidR="007F04E2" w:rsidRPr="00031745" w:rsidRDefault="007F04E2" w:rsidP="007F04E2">
            <w:pPr>
              <w:pStyle w:val="21TableBodyMiddle"/>
              <w:rPr>
                <w:snapToGrid w:val="0"/>
              </w:rPr>
            </w:pPr>
            <w:r w:rsidRPr="00031745">
              <w:rPr>
                <w:snapToGrid w:val="0"/>
              </w:rPr>
              <w:t>Mepilex Ag dressings</w:t>
            </w:r>
          </w:p>
        </w:tc>
        <w:tc>
          <w:tcPr>
            <w:tcW w:w="5877" w:type="dxa"/>
            <w:vAlign w:val="center"/>
          </w:tcPr>
          <w:p w14:paraId="72FDE647" w14:textId="77777777" w:rsidR="007F04E2" w:rsidRPr="00031745" w:rsidRDefault="007F04E2" w:rsidP="007F04E2">
            <w:pPr>
              <w:pStyle w:val="21TableBodyMiddle"/>
              <w:rPr>
                <w:snapToGrid w:val="0"/>
              </w:rPr>
            </w:pPr>
            <w:r w:rsidRPr="00031745">
              <w:rPr>
                <w:snapToGrid w:val="0"/>
              </w:rPr>
              <w:t>In regards to burn depth, both Acticoat and Acticoat w/ Mepitel increased the time frame to full re-epithelization compared to Mepilex Ag dressings.</w:t>
            </w:r>
          </w:p>
          <w:p w14:paraId="11781DB1" w14:textId="77777777" w:rsidR="007F04E2" w:rsidRPr="00031745" w:rsidRDefault="00000000" w:rsidP="007F04E2">
            <w:pPr>
              <w:pStyle w:val="21TableBodyMiddle"/>
              <w:rPr>
                <w:snapToGrid w:val="0"/>
              </w:rPr>
            </w:pPr>
            <w:sdt>
              <w:sdtPr>
                <w:rPr>
                  <w:snapToGrid w:val="0"/>
                </w:rPr>
                <w:tag w:val="goog_rdk_1"/>
                <w:id w:val="1724411250"/>
              </w:sdtPr>
              <w:sdtContent>
                <w:r w:rsidR="007F04E2" w:rsidRPr="00031745">
                  <w:rPr>
                    <w:rFonts w:eastAsia="Gungsuh"/>
                    <w:snapToGrid w:val="0"/>
                  </w:rPr>
                  <w:t xml:space="preserve">Mepilex Ag dressings are successful in decreasing the amount of time needed for full healing, in addition to reducing patients' pain in children with clean, partial thickness burns </w:t>
                </w:r>
                <w:r w:rsidR="007F04E2" w:rsidRPr="00031745">
                  <w:rPr>
                    <w:rFonts w:eastAsia="Gungsuh"/>
                    <w:snapToGrid w:val="0"/>
                  </w:rPr>
                  <w:br/>
                  <w:t>(≤ 10% TBSA).</w:t>
                </w:r>
              </w:sdtContent>
            </w:sdt>
          </w:p>
        </w:tc>
      </w:tr>
      <w:tr w:rsidR="007F04E2" w:rsidRPr="00031745" w14:paraId="007D856F" w14:textId="77777777" w:rsidTr="00BE760D">
        <w:trPr>
          <w:trHeight w:val="20"/>
          <w:jc w:val="center"/>
        </w:trPr>
        <w:tc>
          <w:tcPr>
            <w:tcW w:w="1423" w:type="dxa"/>
            <w:vMerge/>
            <w:vAlign w:val="center"/>
          </w:tcPr>
          <w:p w14:paraId="55D3F8B8" w14:textId="77777777" w:rsidR="007F04E2" w:rsidRPr="00031745" w:rsidRDefault="007F04E2" w:rsidP="007F04E2">
            <w:pPr>
              <w:pStyle w:val="21TableBodyMiddle"/>
              <w:rPr>
                <w:snapToGrid w:val="0"/>
              </w:rPr>
            </w:pPr>
          </w:p>
        </w:tc>
        <w:tc>
          <w:tcPr>
            <w:tcW w:w="1367" w:type="dxa"/>
            <w:vAlign w:val="center"/>
          </w:tcPr>
          <w:p w14:paraId="3FF986A2" w14:textId="77777777" w:rsidR="007F04E2" w:rsidRPr="00031745" w:rsidRDefault="007F04E2" w:rsidP="007F04E2">
            <w:pPr>
              <w:pStyle w:val="21TableBodyMiddle"/>
              <w:rPr>
                <w:snapToGrid w:val="0"/>
              </w:rPr>
            </w:pPr>
            <w:r w:rsidRPr="00031745">
              <w:rPr>
                <w:snapToGrid w:val="0"/>
              </w:rPr>
              <w:t>Gürünlüoglu et al, 2019</w:t>
            </w:r>
          </w:p>
        </w:tc>
        <w:tc>
          <w:tcPr>
            <w:tcW w:w="2552" w:type="dxa"/>
            <w:vAlign w:val="center"/>
          </w:tcPr>
          <w:p w14:paraId="62AEBBE2" w14:textId="77777777" w:rsidR="007F04E2" w:rsidRPr="00031745" w:rsidRDefault="007F04E2" w:rsidP="007F04E2">
            <w:pPr>
              <w:pStyle w:val="21TableBodyMiddle"/>
              <w:rPr>
                <w:snapToGrid w:val="0"/>
              </w:rPr>
            </w:pPr>
            <w:r w:rsidRPr="00031745">
              <w:rPr>
                <w:snapToGrid w:val="0"/>
              </w:rPr>
              <w:t>20-50% TBSA</w:t>
            </w:r>
          </w:p>
          <w:p w14:paraId="646AAE6E" w14:textId="77777777" w:rsidR="007F04E2" w:rsidRPr="00031745" w:rsidRDefault="007F04E2" w:rsidP="007F04E2">
            <w:pPr>
              <w:pStyle w:val="21TableBodyMiddle"/>
              <w:rPr>
                <w:snapToGrid w:val="0"/>
              </w:rPr>
            </w:pPr>
            <w:r w:rsidRPr="00031745">
              <w:rPr>
                <w:snapToGrid w:val="0"/>
              </w:rPr>
              <w:t>Thermal burn injuries</w:t>
            </w:r>
          </w:p>
          <w:p w14:paraId="6BB2B04A" w14:textId="77777777" w:rsidR="007F04E2" w:rsidRPr="00031745" w:rsidRDefault="007F04E2" w:rsidP="007F04E2">
            <w:pPr>
              <w:pStyle w:val="21TableBodyMiddle"/>
              <w:rPr>
                <w:i/>
                <w:snapToGrid w:val="0"/>
              </w:rPr>
            </w:pPr>
            <w:r w:rsidRPr="00031745">
              <w:rPr>
                <w:i/>
                <w:snapToGrid w:val="0"/>
              </w:rPr>
              <w:t>n = 60</w:t>
            </w:r>
          </w:p>
        </w:tc>
        <w:tc>
          <w:tcPr>
            <w:tcW w:w="3827" w:type="dxa"/>
            <w:vAlign w:val="center"/>
          </w:tcPr>
          <w:p w14:paraId="4121EA2A" w14:textId="77777777" w:rsidR="007F04E2" w:rsidRPr="00031745" w:rsidRDefault="007F04E2" w:rsidP="007F04E2">
            <w:pPr>
              <w:pStyle w:val="21TableBodyMiddle"/>
              <w:rPr>
                <w:i/>
                <w:snapToGrid w:val="0"/>
              </w:rPr>
            </w:pPr>
            <w:r w:rsidRPr="00031745">
              <w:rPr>
                <w:i/>
                <w:snapToGrid w:val="0"/>
              </w:rPr>
              <w:t>Randomized Control Trial</w:t>
            </w:r>
          </w:p>
          <w:p w14:paraId="4D211AA9" w14:textId="77777777" w:rsidR="007F04E2" w:rsidRPr="00031745" w:rsidRDefault="007F04E2" w:rsidP="007F04E2">
            <w:pPr>
              <w:pStyle w:val="21TableBodyMiddle"/>
              <w:rPr>
                <w:snapToGrid w:val="0"/>
              </w:rPr>
            </w:pPr>
            <w:r w:rsidRPr="00031745">
              <w:rPr>
                <w:i/>
                <w:snapToGrid w:val="0"/>
              </w:rPr>
              <w:t>Interventions:</w:t>
            </w:r>
            <w:r w:rsidRPr="00031745">
              <w:rPr>
                <w:snapToGrid w:val="0"/>
              </w:rPr>
              <w:t xml:space="preserve"> Hydrofiber dressing with silver (HFAg), Hydrofiber dressing with a polylactic membrane (PLM)</w:t>
            </w:r>
          </w:p>
          <w:p w14:paraId="0A08913A" w14:textId="77777777" w:rsidR="007F04E2" w:rsidRPr="00031745" w:rsidRDefault="007F04E2" w:rsidP="007F04E2">
            <w:pPr>
              <w:pStyle w:val="21TableBodyMiddle"/>
              <w:rPr>
                <w:i/>
                <w:snapToGrid w:val="0"/>
              </w:rPr>
            </w:pPr>
            <w:r w:rsidRPr="00031745">
              <w:rPr>
                <w:i/>
                <w:snapToGrid w:val="0"/>
              </w:rPr>
              <w:t xml:space="preserve">Control: </w:t>
            </w:r>
            <w:r w:rsidRPr="00031745">
              <w:rPr>
                <w:snapToGrid w:val="0"/>
              </w:rPr>
              <w:t>control group</w:t>
            </w:r>
          </w:p>
        </w:tc>
        <w:tc>
          <w:tcPr>
            <w:tcW w:w="5877" w:type="dxa"/>
            <w:vAlign w:val="center"/>
          </w:tcPr>
          <w:p w14:paraId="05B80AA8" w14:textId="77777777" w:rsidR="007F04E2" w:rsidRPr="00031745" w:rsidRDefault="007F04E2" w:rsidP="007F04E2">
            <w:pPr>
              <w:pStyle w:val="21TableBodyMiddle"/>
              <w:rPr>
                <w:snapToGrid w:val="0"/>
              </w:rPr>
            </w:pPr>
            <w:r w:rsidRPr="00031745">
              <w:rPr>
                <w:snapToGrid w:val="0"/>
              </w:rPr>
              <w:t>The PLM dressing increased total antioxidant capacity (TAC) and glutathione (GSH) levels more significantly than other groups, which is speculated to be caused by the high lactate content of the dressing. Therefore, the PLM dressing decreased serum oxidative stress indicators better than other groups.</w:t>
            </w:r>
          </w:p>
        </w:tc>
      </w:tr>
      <w:tr w:rsidR="007F04E2" w:rsidRPr="00031745" w14:paraId="3B8E86FC" w14:textId="77777777" w:rsidTr="00BE760D">
        <w:trPr>
          <w:trHeight w:val="20"/>
          <w:jc w:val="center"/>
        </w:trPr>
        <w:tc>
          <w:tcPr>
            <w:tcW w:w="1423" w:type="dxa"/>
            <w:vMerge/>
            <w:vAlign w:val="center"/>
          </w:tcPr>
          <w:p w14:paraId="6A74A1DA" w14:textId="77777777" w:rsidR="007F04E2" w:rsidRPr="00031745" w:rsidRDefault="007F04E2" w:rsidP="007F04E2">
            <w:pPr>
              <w:pStyle w:val="21TableBodyMiddle"/>
              <w:rPr>
                <w:snapToGrid w:val="0"/>
              </w:rPr>
            </w:pPr>
          </w:p>
        </w:tc>
        <w:tc>
          <w:tcPr>
            <w:tcW w:w="1367" w:type="dxa"/>
            <w:vAlign w:val="center"/>
          </w:tcPr>
          <w:p w14:paraId="177220AF" w14:textId="77777777" w:rsidR="007F04E2" w:rsidRPr="00031745" w:rsidRDefault="007F04E2" w:rsidP="007F04E2">
            <w:pPr>
              <w:pStyle w:val="21TableBodyMiddle"/>
              <w:rPr>
                <w:snapToGrid w:val="0"/>
              </w:rPr>
            </w:pPr>
            <w:r w:rsidRPr="00031745">
              <w:rPr>
                <w:snapToGrid w:val="0"/>
              </w:rPr>
              <w:t xml:space="preserve">Hundeshagen et </w:t>
            </w:r>
            <w:r w:rsidRPr="00031745">
              <w:rPr>
                <w:snapToGrid w:val="0"/>
              </w:rPr>
              <w:lastRenderedPageBreak/>
              <w:t>al. 2018</w:t>
            </w:r>
          </w:p>
        </w:tc>
        <w:tc>
          <w:tcPr>
            <w:tcW w:w="2552" w:type="dxa"/>
            <w:vAlign w:val="center"/>
          </w:tcPr>
          <w:p w14:paraId="105C9B84" w14:textId="77777777" w:rsidR="007F04E2" w:rsidRPr="00031745" w:rsidRDefault="007F04E2" w:rsidP="007F04E2">
            <w:pPr>
              <w:pStyle w:val="21TableBodyMiddle"/>
              <w:rPr>
                <w:snapToGrid w:val="0"/>
              </w:rPr>
            </w:pPr>
            <w:r w:rsidRPr="00031745">
              <w:rPr>
                <w:snapToGrid w:val="0"/>
              </w:rPr>
              <w:lastRenderedPageBreak/>
              <w:t>Pediatric and Adult patients with par</w:t>
            </w:r>
            <w:r w:rsidRPr="00031745">
              <w:rPr>
                <w:snapToGrid w:val="0"/>
              </w:rPr>
              <w:lastRenderedPageBreak/>
              <w:t>tial-thickness burns</w:t>
            </w:r>
          </w:p>
          <w:p w14:paraId="4BC6C46F" w14:textId="77777777" w:rsidR="007F04E2" w:rsidRPr="00031745" w:rsidRDefault="007F04E2" w:rsidP="007F04E2">
            <w:pPr>
              <w:pStyle w:val="21TableBodyMiddle"/>
              <w:rPr>
                <w:i/>
                <w:snapToGrid w:val="0"/>
              </w:rPr>
            </w:pPr>
            <w:r w:rsidRPr="00031745">
              <w:rPr>
                <w:i/>
                <w:snapToGrid w:val="0"/>
              </w:rPr>
              <w:t>n = 62</w:t>
            </w:r>
          </w:p>
        </w:tc>
        <w:tc>
          <w:tcPr>
            <w:tcW w:w="3827" w:type="dxa"/>
            <w:vAlign w:val="center"/>
          </w:tcPr>
          <w:p w14:paraId="236AB9FB" w14:textId="77777777" w:rsidR="007F04E2" w:rsidRPr="00031745" w:rsidRDefault="007F04E2" w:rsidP="007F04E2">
            <w:pPr>
              <w:pStyle w:val="21TableBodyMiddle"/>
              <w:rPr>
                <w:i/>
                <w:snapToGrid w:val="0"/>
              </w:rPr>
            </w:pPr>
            <w:r w:rsidRPr="00031745">
              <w:rPr>
                <w:i/>
                <w:snapToGrid w:val="0"/>
              </w:rPr>
              <w:lastRenderedPageBreak/>
              <w:t>Prospective Randomized Con</w:t>
            </w:r>
            <w:r w:rsidRPr="00031745">
              <w:rPr>
                <w:i/>
                <w:snapToGrid w:val="0"/>
              </w:rPr>
              <w:lastRenderedPageBreak/>
              <w:t>trol Trial</w:t>
            </w:r>
          </w:p>
          <w:p w14:paraId="506D9BFD"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Mepilex Ag (silver impregnated foam dressing) and Suprathel (DL-lactic acid polymer).</w:t>
            </w:r>
          </w:p>
        </w:tc>
        <w:tc>
          <w:tcPr>
            <w:tcW w:w="5877" w:type="dxa"/>
            <w:vAlign w:val="center"/>
          </w:tcPr>
          <w:p w14:paraId="18060F88" w14:textId="77777777" w:rsidR="007F04E2" w:rsidRPr="00031745" w:rsidRDefault="007F04E2" w:rsidP="007F04E2">
            <w:pPr>
              <w:pStyle w:val="21TableBodyMiddle"/>
              <w:rPr>
                <w:snapToGrid w:val="0"/>
              </w:rPr>
            </w:pPr>
            <w:r w:rsidRPr="00031745">
              <w:rPr>
                <w:snapToGrid w:val="0"/>
              </w:rPr>
              <w:lastRenderedPageBreak/>
              <w:t xml:space="preserve">The 32 patients who received Suprathel demonstrated better quality of scar recovery. Pain ratings </w:t>
            </w:r>
            <w:r w:rsidRPr="00031745">
              <w:rPr>
                <w:snapToGrid w:val="0"/>
              </w:rPr>
              <w:lastRenderedPageBreak/>
              <w:t>greatly decreased following the first 5 days after the burn in both groups for all patients (62). The average time to heal for both the Mepilex Ag and Suprathel groups was 12 days, supporting the efficacy of the treatment options. The study suggests that Suprathel can be used as an alternative dressing option for Mepilex Ag in patients with partial thickness burns.</w:t>
            </w:r>
          </w:p>
        </w:tc>
      </w:tr>
      <w:tr w:rsidR="007F04E2" w:rsidRPr="00031745" w14:paraId="1C8C23FC" w14:textId="77777777" w:rsidTr="00BE760D">
        <w:trPr>
          <w:trHeight w:val="20"/>
          <w:jc w:val="center"/>
        </w:trPr>
        <w:tc>
          <w:tcPr>
            <w:tcW w:w="1423" w:type="dxa"/>
            <w:vMerge/>
            <w:vAlign w:val="center"/>
          </w:tcPr>
          <w:p w14:paraId="65DD3C53" w14:textId="77777777" w:rsidR="007F04E2" w:rsidRPr="00031745" w:rsidRDefault="007F04E2" w:rsidP="007F04E2">
            <w:pPr>
              <w:pStyle w:val="21TableBodyMiddle"/>
              <w:rPr>
                <w:snapToGrid w:val="0"/>
              </w:rPr>
            </w:pPr>
          </w:p>
        </w:tc>
        <w:tc>
          <w:tcPr>
            <w:tcW w:w="1367" w:type="dxa"/>
            <w:vAlign w:val="center"/>
          </w:tcPr>
          <w:p w14:paraId="736020A1" w14:textId="77777777" w:rsidR="007F04E2" w:rsidRPr="00031745" w:rsidRDefault="007F04E2" w:rsidP="007F04E2">
            <w:pPr>
              <w:pStyle w:val="21TableBodyMiddle"/>
              <w:rPr>
                <w:snapToGrid w:val="0"/>
              </w:rPr>
            </w:pPr>
            <w:r w:rsidRPr="00031745">
              <w:rPr>
                <w:snapToGrid w:val="0"/>
              </w:rPr>
              <w:t>Hyland et al. 2018</w:t>
            </w:r>
          </w:p>
        </w:tc>
        <w:tc>
          <w:tcPr>
            <w:tcW w:w="2552" w:type="dxa"/>
            <w:vAlign w:val="center"/>
          </w:tcPr>
          <w:p w14:paraId="49D0B095" w14:textId="77777777" w:rsidR="007F04E2" w:rsidRPr="00031745" w:rsidRDefault="00000000" w:rsidP="007F04E2">
            <w:pPr>
              <w:pStyle w:val="21TableBodyMiddle"/>
              <w:rPr>
                <w:snapToGrid w:val="0"/>
              </w:rPr>
            </w:pPr>
            <w:sdt>
              <w:sdtPr>
                <w:rPr>
                  <w:snapToGrid w:val="0"/>
                </w:rPr>
                <w:tag w:val="goog_rdk_2"/>
                <w:id w:val="183256780"/>
              </w:sdtPr>
              <w:sdtContent>
                <w:r w:rsidR="007F04E2" w:rsidRPr="00031745">
                  <w:rPr>
                    <w:rFonts w:eastAsia="Gungsuh"/>
                    <w:snapToGrid w:val="0"/>
                  </w:rPr>
                  <w:t>Mid-dermal burns affecting ≥ 1% TBSA in children</w:t>
                </w:r>
              </w:sdtContent>
            </w:sdt>
          </w:p>
          <w:p w14:paraId="661313C7" w14:textId="77777777" w:rsidR="007F04E2" w:rsidRPr="00031745" w:rsidRDefault="007F04E2" w:rsidP="007F04E2">
            <w:pPr>
              <w:pStyle w:val="21TableBodyMiddle"/>
              <w:rPr>
                <w:i/>
                <w:snapToGrid w:val="0"/>
              </w:rPr>
            </w:pPr>
            <w:r w:rsidRPr="00031745">
              <w:rPr>
                <w:i/>
                <w:snapToGrid w:val="0"/>
              </w:rPr>
              <w:t>n = 20</w:t>
            </w:r>
          </w:p>
        </w:tc>
        <w:tc>
          <w:tcPr>
            <w:tcW w:w="3827" w:type="dxa"/>
            <w:vAlign w:val="center"/>
          </w:tcPr>
          <w:p w14:paraId="04EA965C" w14:textId="77777777" w:rsidR="007F04E2" w:rsidRPr="00031745" w:rsidRDefault="007F04E2" w:rsidP="007F04E2">
            <w:pPr>
              <w:pStyle w:val="21TableBodyMiddle"/>
              <w:rPr>
                <w:i/>
                <w:snapToGrid w:val="0"/>
              </w:rPr>
            </w:pPr>
            <w:r w:rsidRPr="00031745">
              <w:rPr>
                <w:i/>
                <w:snapToGrid w:val="0"/>
              </w:rPr>
              <w:t>Prospective Randomized Control Trial</w:t>
            </w:r>
          </w:p>
          <w:p w14:paraId="3696EB77" w14:textId="77777777" w:rsidR="007F04E2" w:rsidRPr="00031745" w:rsidRDefault="007F04E2" w:rsidP="007F04E2">
            <w:pPr>
              <w:pStyle w:val="21TableBodyMiddle"/>
              <w:rPr>
                <w:i/>
                <w:snapToGrid w:val="0"/>
              </w:rPr>
            </w:pPr>
            <w:r w:rsidRPr="00031745">
              <w:rPr>
                <w:i/>
                <w:snapToGrid w:val="0"/>
              </w:rPr>
              <w:t>Intervention:</w:t>
            </w:r>
            <w:r w:rsidRPr="00031745">
              <w:rPr>
                <w:snapToGrid w:val="0"/>
              </w:rPr>
              <w:t xml:space="preserve"> Biobrane film </w:t>
            </w:r>
            <w:r w:rsidRPr="00031745">
              <w:rPr>
                <w:i/>
                <w:snapToGrid w:val="0"/>
              </w:rPr>
              <w:t>(n = 10)</w:t>
            </w:r>
            <w:r w:rsidRPr="00031745">
              <w:rPr>
                <w:i/>
                <w:snapToGrid w:val="0"/>
              </w:rPr>
              <w:br/>
            </w:r>
            <w:r w:rsidRPr="00031745">
              <w:rPr>
                <w:snapToGrid w:val="0"/>
              </w:rPr>
              <w:t xml:space="preserve">and Acticoat film </w:t>
            </w:r>
            <w:r w:rsidRPr="00031745">
              <w:rPr>
                <w:iCs/>
                <w:snapToGrid w:val="0"/>
              </w:rPr>
              <w:t>(</w:t>
            </w:r>
            <w:r w:rsidRPr="00031745">
              <w:rPr>
                <w:i/>
                <w:snapToGrid w:val="0"/>
              </w:rPr>
              <w:t>n = 10).</w:t>
            </w:r>
          </w:p>
        </w:tc>
        <w:tc>
          <w:tcPr>
            <w:tcW w:w="5877" w:type="dxa"/>
            <w:vAlign w:val="center"/>
          </w:tcPr>
          <w:p w14:paraId="56D3F5DE" w14:textId="77777777" w:rsidR="007F04E2" w:rsidRPr="00031745" w:rsidRDefault="007F04E2" w:rsidP="007F04E2">
            <w:pPr>
              <w:pStyle w:val="21TableBodyMiddle"/>
              <w:rPr>
                <w:snapToGrid w:val="0"/>
              </w:rPr>
            </w:pPr>
            <w:r w:rsidRPr="00031745">
              <w:rPr>
                <w:snapToGrid w:val="0"/>
              </w:rPr>
              <w:t>Subjects (10) who received Biobrane showed higher rates of infection, but shorter healing times. The amount of skin grafting needed was higher for subjects (10) in the Actiocat group. The study suggests that although Biobrane film increases infection risk, it can be used to treat mid-dermal burns in children.</w:t>
            </w:r>
          </w:p>
        </w:tc>
      </w:tr>
      <w:tr w:rsidR="007F04E2" w:rsidRPr="00031745" w14:paraId="6B43361C" w14:textId="77777777" w:rsidTr="00BE760D">
        <w:trPr>
          <w:trHeight w:val="20"/>
          <w:jc w:val="center"/>
        </w:trPr>
        <w:tc>
          <w:tcPr>
            <w:tcW w:w="1423" w:type="dxa"/>
            <w:vMerge/>
            <w:vAlign w:val="center"/>
          </w:tcPr>
          <w:p w14:paraId="474D4853" w14:textId="77777777" w:rsidR="007F04E2" w:rsidRPr="00031745" w:rsidRDefault="007F04E2" w:rsidP="007F04E2">
            <w:pPr>
              <w:pStyle w:val="21TableBodyMiddle"/>
              <w:rPr>
                <w:snapToGrid w:val="0"/>
              </w:rPr>
            </w:pPr>
          </w:p>
        </w:tc>
        <w:tc>
          <w:tcPr>
            <w:tcW w:w="1367" w:type="dxa"/>
            <w:vAlign w:val="center"/>
          </w:tcPr>
          <w:p w14:paraId="7ADC6074" w14:textId="77777777" w:rsidR="007F04E2" w:rsidRPr="00031745" w:rsidRDefault="007F04E2" w:rsidP="007F04E2">
            <w:pPr>
              <w:pStyle w:val="21TableBodyMiddle"/>
              <w:rPr>
                <w:snapToGrid w:val="0"/>
              </w:rPr>
            </w:pPr>
            <w:r w:rsidRPr="00031745">
              <w:rPr>
                <w:snapToGrid w:val="0"/>
              </w:rPr>
              <w:t>Lau et al, 2016</w:t>
            </w:r>
          </w:p>
        </w:tc>
        <w:tc>
          <w:tcPr>
            <w:tcW w:w="2552" w:type="dxa"/>
            <w:vAlign w:val="center"/>
          </w:tcPr>
          <w:p w14:paraId="736D4D34" w14:textId="77777777" w:rsidR="007F04E2" w:rsidRPr="00031745" w:rsidRDefault="007F04E2" w:rsidP="007F04E2">
            <w:pPr>
              <w:pStyle w:val="21TableBodyMiddle"/>
              <w:rPr>
                <w:i/>
                <w:snapToGrid w:val="0"/>
              </w:rPr>
            </w:pPr>
            <w:r w:rsidRPr="00031745">
              <w:rPr>
                <w:i/>
                <w:snapToGrid w:val="0"/>
              </w:rPr>
              <w:t>n = 119</w:t>
            </w:r>
          </w:p>
        </w:tc>
        <w:tc>
          <w:tcPr>
            <w:tcW w:w="3827" w:type="dxa"/>
            <w:vAlign w:val="center"/>
          </w:tcPr>
          <w:p w14:paraId="4337C8E3" w14:textId="77777777" w:rsidR="007F04E2" w:rsidRPr="00031745" w:rsidRDefault="007F04E2" w:rsidP="007F04E2">
            <w:pPr>
              <w:pStyle w:val="21TableBodyMiddle"/>
              <w:rPr>
                <w:i/>
                <w:snapToGrid w:val="0"/>
              </w:rPr>
            </w:pPr>
            <w:r w:rsidRPr="00031745">
              <w:rPr>
                <w:i/>
                <w:snapToGrid w:val="0"/>
              </w:rPr>
              <w:t>Retrospective Review</w:t>
            </w:r>
          </w:p>
          <w:p w14:paraId="4E229630"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Aquacel Ag (</w:t>
            </w:r>
            <w:r w:rsidRPr="00031745">
              <w:rPr>
                <w:i/>
                <w:iCs/>
                <w:snapToGrid w:val="0"/>
              </w:rPr>
              <w:t>n = 31</w:t>
            </w:r>
            <w:r w:rsidRPr="00031745">
              <w:rPr>
                <w:snapToGrid w:val="0"/>
              </w:rPr>
              <w:t>)</w:t>
            </w:r>
          </w:p>
          <w:p w14:paraId="1FE89498" w14:textId="77777777" w:rsidR="007F04E2" w:rsidRPr="00031745" w:rsidRDefault="007F04E2" w:rsidP="007F04E2">
            <w:pPr>
              <w:pStyle w:val="21TableBodyMiddle"/>
              <w:rPr>
                <w:snapToGrid w:val="0"/>
              </w:rPr>
            </w:pPr>
            <w:r w:rsidRPr="00031745">
              <w:rPr>
                <w:i/>
                <w:snapToGrid w:val="0"/>
              </w:rPr>
              <w:t>Control:</w:t>
            </w:r>
            <w:r w:rsidRPr="00031745">
              <w:rPr>
                <w:snapToGrid w:val="0"/>
              </w:rPr>
              <w:t xml:space="preserve"> Standard dressing (</w:t>
            </w:r>
            <w:r w:rsidRPr="00031745">
              <w:rPr>
                <w:i/>
                <w:iCs/>
                <w:snapToGrid w:val="0"/>
              </w:rPr>
              <w:t>n = 53</w:t>
            </w:r>
            <w:r w:rsidRPr="00031745">
              <w:rPr>
                <w:snapToGrid w:val="0"/>
              </w:rPr>
              <w:t>)</w:t>
            </w:r>
          </w:p>
        </w:tc>
        <w:tc>
          <w:tcPr>
            <w:tcW w:w="5877" w:type="dxa"/>
            <w:vAlign w:val="center"/>
          </w:tcPr>
          <w:p w14:paraId="389946F0" w14:textId="77777777" w:rsidR="007F04E2" w:rsidRPr="00031745" w:rsidRDefault="007F04E2" w:rsidP="007F04E2">
            <w:pPr>
              <w:pStyle w:val="21TableBodyMiddle"/>
              <w:rPr>
                <w:snapToGrid w:val="0"/>
              </w:rPr>
            </w:pPr>
            <w:r w:rsidRPr="00031745">
              <w:rPr>
                <w:snapToGrid w:val="0"/>
              </w:rPr>
              <w:t>Patients whose wounds were dressed with Aquacel Ag had decreased hospital LOS, required fewer dressing changes, and experienced less hypertrophic scar formation.</w:t>
            </w:r>
          </w:p>
        </w:tc>
      </w:tr>
      <w:tr w:rsidR="007F04E2" w:rsidRPr="00031745" w14:paraId="24D6A343" w14:textId="77777777" w:rsidTr="00BE760D">
        <w:trPr>
          <w:trHeight w:val="20"/>
          <w:jc w:val="center"/>
        </w:trPr>
        <w:tc>
          <w:tcPr>
            <w:tcW w:w="1423" w:type="dxa"/>
            <w:vMerge/>
            <w:vAlign w:val="center"/>
          </w:tcPr>
          <w:p w14:paraId="0C7FB09C" w14:textId="77777777" w:rsidR="007F04E2" w:rsidRPr="00031745" w:rsidRDefault="007F04E2" w:rsidP="007F04E2">
            <w:pPr>
              <w:pStyle w:val="21TableBodyMiddle"/>
              <w:rPr>
                <w:snapToGrid w:val="0"/>
              </w:rPr>
            </w:pPr>
          </w:p>
        </w:tc>
        <w:tc>
          <w:tcPr>
            <w:tcW w:w="1367" w:type="dxa"/>
            <w:vAlign w:val="center"/>
          </w:tcPr>
          <w:p w14:paraId="19A6FB75" w14:textId="77777777" w:rsidR="007F04E2" w:rsidRPr="00031745" w:rsidRDefault="007F04E2" w:rsidP="007F04E2">
            <w:pPr>
              <w:pStyle w:val="21TableBodyMiddle"/>
              <w:rPr>
                <w:snapToGrid w:val="0"/>
              </w:rPr>
            </w:pPr>
            <w:r w:rsidRPr="00031745">
              <w:rPr>
                <w:snapToGrid w:val="0"/>
              </w:rPr>
              <w:t>Lorincz et al. 2021</w:t>
            </w:r>
          </w:p>
        </w:tc>
        <w:tc>
          <w:tcPr>
            <w:tcW w:w="2552" w:type="dxa"/>
            <w:vAlign w:val="center"/>
          </w:tcPr>
          <w:p w14:paraId="3609867B" w14:textId="77777777" w:rsidR="007F04E2" w:rsidRPr="00031745" w:rsidRDefault="007F04E2" w:rsidP="007F04E2">
            <w:pPr>
              <w:pStyle w:val="21TableBodyMiddle"/>
              <w:rPr>
                <w:snapToGrid w:val="0"/>
              </w:rPr>
            </w:pPr>
            <w:r w:rsidRPr="00031745">
              <w:rPr>
                <w:snapToGrid w:val="0"/>
              </w:rPr>
              <w:t>Children needing skin transplantation following deep 2nd-3rd degree burns</w:t>
            </w:r>
          </w:p>
          <w:p w14:paraId="2678E165" w14:textId="77777777" w:rsidR="007F04E2" w:rsidRPr="00031745" w:rsidRDefault="007F04E2" w:rsidP="007F04E2">
            <w:pPr>
              <w:pStyle w:val="21TableBodyMiddle"/>
              <w:rPr>
                <w:i/>
                <w:snapToGrid w:val="0"/>
              </w:rPr>
            </w:pPr>
            <w:r w:rsidRPr="00031745">
              <w:rPr>
                <w:i/>
                <w:snapToGrid w:val="0"/>
              </w:rPr>
              <w:t>n = 16</w:t>
            </w:r>
          </w:p>
        </w:tc>
        <w:tc>
          <w:tcPr>
            <w:tcW w:w="3827" w:type="dxa"/>
            <w:vAlign w:val="center"/>
          </w:tcPr>
          <w:p w14:paraId="066BA8D3" w14:textId="77777777" w:rsidR="007F04E2" w:rsidRPr="00031745" w:rsidRDefault="007F04E2" w:rsidP="007F04E2">
            <w:pPr>
              <w:pStyle w:val="21TableBodyMiddle"/>
              <w:rPr>
                <w:i/>
                <w:snapToGrid w:val="0"/>
              </w:rPr>
            </w:pPr>
            <w:r w:rsidRPr="00031745">
              <w:rPr>
                <w:i/>
                <w:snapToGrid w:val="0"/>
              </w:rPr>
              <w:t>Comparative Study (Cohort)</w:t>
            </w:r>
          </w:p>
          <w:p w14:paraId="6B3864EA" w14:textId="77777777" w:rsidR="007F04E2" w:rsidRPr="00031745" w:rsidRDefault="007F04E2" w:rsidP="007F04E2">
            <w:pPr>
              <w:pStyle w:val="21TableBodyMiddle"/>
              <w:rPr>
                <w:i/>
                <w:snapToGrid w:val="0"/>
              </w:rPr>
            </w:pPr>
            <w:r w:rsidRPr="00031745">
              <w:rPr>
                <w:i/>
                <w:snapToGrid w:val="0"/>
              </w:rPr>
              <w:t xml:space="preserve">Intervention: </w:t>
            </w:r>
            <w:r w:rsidRPr="00031745">
              <w:rPr>
                <w:snapToGrid w:val="0"/>
              </w:rPr>
              <w:t>Aquacel Ag foam and Curiosa gel</w:t>
            </w:r>
            <w:r w:rsidRPr="00031745">
              <w:rPr>
                <w:i/>
                <w:snapToGrid w:val="0"/>
              </w:rPr>
              <w:t xml:space="preserve"> (n = 9)</w:t>
            </w:r>
          </w:p>
          <w:p w14:paraId="6D846309" w14:textId="77777777" w:rsidR="007F04E2" w:rsidRPr="00031745" w:rsidRDefault="007F04E2" w:rsidP="007F04E2">
            <w:pPr>
              <w:pStyle w:val="21TableBodyMiddle"/>
              <w:rPr>
                <w:i/>
                <w:snapToGrid w:val="0"/>
              </w:rPr>
            </w:pPr>
            <w:r w:rsidRPr="00031745">
              <w:rPr>
                <w:i/>
                <w:snapToGrid w:val="0"/>
              </w:rPr>
              <w:t xml:space="preserve">Control: </w:t>
            </w:r>
            <w:r w:rsidRPr="00031745">
              <w:rPr>
                <w:snapToGrid w:val="0"/>
              </w:rPr>
              <w:t>Grassolind or Mepitel net., and Betadine solution</w:t>
            </w:r>
            <w:r w:rsidRPr="00031745">
              <w:rPr>
                <w:i/>
                <w:snapToGrid w:val="0"/>
              </w:rPr>
              <w:t xml:space="preserve"> (n = 7)</w:t>
            </w:r>
          </w:p>
        </w:tc>
        <w:tc>
          <w:tcPr>
            <w:tcW w:w="5877" w:type="dxa"/>
            <w:vAlign w:val="center"/>
          </w:tcPr>
          <w:p w14:paraId="0AD83E31" w14:textId="77777777" w:rsidR="007F04E2" w:rsidRPr="00031745" w:rsidRDefault="007F04E2" w:rsidP="007F04E2">
            <w:pPr>
              <w:pStyle w:val="21TableBodyMiddle"/>
              <w:rPr>
                <w:snapToGrid w:val="0"/>
              </w:rPr>
            </w:pPr>
            <w:r w:rsidRPr="00031745">
              <w:rPr>
                <w:snapToGrid w:val="0"/>
              </w:rPr>
              <w:t>The children in the intervention group (Aquacel Ag foam and Curiosa gel) required significantly less anesthesia and they required fewer dressing changes following the skin transplantation. Dressing in the intervention group could be removed up to 3 days earlier than the dressing for the children in the control group. Children receiving Aquacel Ag foam and Curiosa gel also had a shorter length of stay in the hospital.</w:t>
            </w:r>
          </w:p>
        </w:tc>
      </w:tr>
      <w:tr w:rsidR="007F04E2" w:rsidRPr="00031745" w14:paraId="1556798F" w14:textId="77777777" w:rsidTr="00BE760D">
        <w:trPr>
          <w:trHeight w:val="20"/>
          <w:jc w:val="center"/>
        </w:trPr>
        <w:tc>
          <w:tcPr>
            <w:tcW w:w="1423" w:type="dxa"/>
            <w:vMerge/>
            <w:vAlign w:val="center"/>
          </w:tcPr>
          <w:p w14:paraId="5942036D" w14:textId="77777777" w:rsidR="007F04E2" w:rsidRPr="00031745" w:rsidRDefault="007F04E2" w:rsidP="007F04E2">
            <w:pPr>
              <w:pStyle w:val="21TableBodyMiddle"/>
              <w:rPr>
                <w:snapToGrid w:val="0"/>
              </w:rPr>
            </w:pPr>
          </w:p>
        </w:tc>
        <w:tc>
          <w:tcPr>
            <w:tcW w:w="1367" w:type="dxa"/>
            <w:vAlign w:val="center"/>
          </w:tcPr>
          <w:p w14:paraId="548A4E61" w14:textId="77777777" w:rsidR="007F04E2" w:rsidRPr="00031745" w:rsidRDefault="007F04E2" w:rsidP="007F04E2">
            <w:pPr>
              <w:pStyle w:val="21TableBodyMiddle"/>
              <w:rPr>
                <w:snapToGrid w:val="0"/>
              </w:rPr>
            </w:pPr>
            <w:r w:rsidRPr="00031745">
              <w:rPr>
                <w:snapToGrid w:val="0"/>
              </w:rPr>
              <w:t>McBride, et al. 2015</w:t>
            </w:r>
          </w:p>
        </w:tc>
        <w:tc>
          <w:tcPr>
            <w:tcW w:w="2552" w:type="dxa"/>
            <w:vAlign w:val="center"/>
          </w:tcPr>
          <w:p w14:paraId="58EDBAA6" w14:textId="77777777" w:rsidR="007F04E2" w:rsidRPr="00031745" w:rsidRDefault="007F04E2" w:rsidP="007F04E2">
            <w:pPr>
              <w:pStyle w:val="21TableBodyMiddle"/>
              <w:rPr>
                <w:snapToGrid w:val="0"/>
              </w:rPr>
            </w:pPr>
            <w:r w:rsidRPr="00031745">
              <w:rPr>
                <w:snapToGrid w:val="0"/>
              </w:rPr>
              <w:t>Children who require split thickness skin grafting for burns</w:t>
            </w:r>
          </w:p>
          <w:p w14:paraId="331E6339" w14:textId="77777777" w:rsidR="007F04E2" w:rsidRPr="00031745" w:rsidRDefault="007F04E2" w:rsidP="007F04E2">
            <w:pPr>
              <w:pStyle w:val="21TableBodyMiddle"/>
              <w:rPr>
                <w:i/>
                <w:snapToGrid w:val="0"/>
              </w:rPr>
            </w:pPr>
            <w:r w:rsidRPr="00031745">
              <w:rPr>
                <w:i/>
                <w:snapToGrid w:val="0"/>
              </w:rPr>
              <w:t>n = 34</w:t>
            </w:r>
          </w:p>
        </w:tc>
        <w:tc>
          <w:tcPr>
            <w:tcW w:w="3827" w:type="dxa"/>
            <w:vAlign w:val="center"/>
          </w:tcPr>
          <w:p w14:paraId="2FD15148" w14:textId="77777777" w:rsidR="007F04E2" w:rsidRPr="00031745" w:rsidRDefault="007F04E2" w:rsidP="007F04E2">
            <w:pPr>
              <w:pStyle w:val="21TableBodyMiddle"/>
              <w:rPr>
                <w:i/>
                <w:snapToGrid w:val="0"/>
              </w:rPr>
            </w:pPr>
            <w:r w:rsidRPr="00031745">
              <w:rPr>
                <w:i/>
                <w:snapToGrid w:val="0"/>
              </w:rPr>
              <w:t>Randomized Control Trial</w:t>
            </w:r>
          </w:p>
          <w:p w14:paraId="0C280D41"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Calcium alginate dressing (Algisite M), Acetate gauze with water repellant ointment (Cuticerin), gauze mesh coated with DACC and amorphous hydrogel (Sorbact).</w:t>
            </w:r>
          </w:p>
        </w:tc>
        <w:tc>
          <w:tcPr>
            <w:tcW w:w="5877" w:type="dxa"/>
            <w:vAlign w:val="center"/>
          </w:tcPr>
          <w:p w14:paraId="77911EC6" w14:textId="77777777" w:rsidR="007F04E2" w:rsidRPr="00031745" w:rsidRDefault="007F04E2" w:rsidP="007F04E2">
            <w:pPr>
              <w:pStyle w:val="21TableBodyMiddle"/>
              <w:rPr>
                <w:snapToGrid w:val="0"/>
              </w:rPr>
            </w:pPr>
            <w:r w:rsidRPr="00031745">
              <w:rPr>
                <w:snapToGrid w:val="0"/>
              </w:rPr>
              <w:t>The study explains that Alginate is currently the most common donor site wound (DSW) being used and provided better results amongst the study’s group treatment options. Research suggests that alginates can be used to decrease pain, itch, and scarring along with improving wound healing.</w:t>
            </w:r>
          </w:p>
        </w:tc>
      </w:tr>
      <w:tr w:rsidR="007F04E2" w:rsidRPr="00031745" w14:paraId="2324B972" w14:textId="77777777" w:rsidTr="00BE760D">
        <w:trPr>
          <w:trHeight w:val="20"/>
          <w:jc w:val="center"/>
        </w:trPr>
        <w:tc>
          <w:tcPr>
            <w:tcW w:w="1423" w:type="dxa"/>
            <w:vMerge/>
            <w:vAlign w:val="center"/>
          </w:tcPr>
          <w:p w14:paraId="31821E85" w14:textId="77777777" w:rsidR="007F04E2" w:rsidRPr="00031745" w:rsidRDefault="007F04E2" w:rsidP="007F04E2">
            <w:pPr>
              <w:pStyle w:val="21TableBodyMiddle"/>
              <w:rPr>
                <w:snapToGrid w:val="0"/>
              </w:rPr>
            </w:pPr>
          </w:p>
        </w:tc>
        <w:tc>
          <w:tcPr>
            <w:tcW w:w="1367" w:type="dxa"/>
            <w:vAlign w:val="center"/>
          </w:tcPr>
          <w:p w14:paraId="67D9974D" w14:textId="77777777" w:rsidR="007F04E2" w:rsidRPr="00031745" w:rsidRDefault="007F04E2" w:rsidP="007F04E2">
            <w:pPr>
              <w:pStyle w:val="21TableBodyMiddle"/>
              <w:rPr>
                <w:snapToGrid w:val="0"/>
              </w:rPr>
            </w:pPr>
            <w:r w:rsidRPr="00031745">
              <w:rPr>
                <w:snapToGrid w:val="0"/>
              </w:rPr>
              <w:t>Moniruzzaman, et al. 2022</w:t>
            </w:r>
          </w:p>
        </w:tc>
        <w:tc>
          <w:tcPr>
            <w:tcW w:w="2552" w:type="dxa"/>
            <w:vAlign w:val="center"/>
          </w:tcPr>
          <w:p w14:paraId="218E4DA6" w14:textId="77777777" w:rsidR="007F04E2" w:rsidRPr="00031745" w:rsidRDefault="007F04E2" w:rsidP="007F04E2">
            <w:pPr>
              <w:pStyle w:val="21TableBodyMiddle"/>
              <w:rPr>
                <w:snapToGrid w:val="0"/>
              </w:rPr>
            </w:pPr>
            <w:r w:rsidRPr="00031745">
              <w:rPr>
                <w:snapToGrid w:val="0"/>
              </w:rPr>
              <w:t>Children 12-60 months with burns</w:t>
            </w:r>
          </w:p>
        </w:tc>
        <w:tc>
          <w:tcPr>
            <w:tcW w:w="3827" w:type="dxa"/>
            <w:vAlign w:val="center"/>
          </w:tcPr>
          <w:p w14:paraId="6B45A9A0" w14:textId="77777777" w:rsidR="007F04E2" w:rsidRPr="00031745" w:rsidRDefault="007F04E2" w:rsidP="007F04E2">
            <w:pPr>
              <w:pStyle w:val="21TableBodyMiddle"/>
              <w:rPr>
                <w:i/>
                <w:snapToGrid w:val="0"/>
              </w:rPr>
            </w:pPr>
            <w:r w:rsidRPr="00031745">
              <w:rPr>
                <w:i/>
                <w:snapToGrid w:val="0"/>
              </w:rPr>
              <w:t>Prospective comparative study</w:t>
            </w:r>
          </w:p>
          <w:p w14:paraId="6A895489" w14:textId="77777777" w:rsidR="007F04E2" w:rsidRPr="00031745" w:rsidRDefault="007F04E2" w:rsidP="007F04E2">
            <w:pPr>
              <w:pStyle w:val="21TableBodyMiddle"/>
              <w:rPr>
                <w:i/>
                <w:snapToGrid w:val="0"/>
              </w:rPr>
            </w:pPr>
            <w:r w:rsidRPr="00031745">
              <w:rPr>
                <w:i/>
                <w:snapToGrid w:val="0"/>
              </w:rPr>
              <w:t xml:space="preserve">Intervention: </w:t>
            </w:r>
            <w:r w:rsidRPr="00031745">
              <w:rPr>
                <w:iCs/>
                <w:snapToGrid w:val="0"/>
              </w:rPr>
              <w:t>Honey 9 (</w:t>
            </w:r>
            <w:r w:rsidRPr="00031745">
              <w:rPr>
                <w:i/>
                <w:snapToGrid w:val="0"/>
              </w:rPr>
              <w:t>n = 35)</w:t>
            </w:r>
            <w:r w:rsidRPr="00031745">
              <w:rPr>
                <w:iCs/>
                <w:snapToGrid w:val="0"/>
              </w:rPr>
              <w:t xml:space="preserve"> vs 1% Silver sulphadiazine </w:t>
            </w:r>
            <w:r w:rsidRPr="00031745">
              <w:rPr>
                <w:i/>
                <w:snapToGrid w:val="0"/>
              </w:rPr>
              <w:t>(n = 35)</w:t>
            </w:r>
          </w:p>
        </w:tc>
        <w:tc>
          <w:tcPr>
            <w:tcW w:w="5877" w:type="dxa"/>
            <w:vAlign w:val="center"/>
          </w:tcPr>
          <w:p w14:paraId="317CFDE3" w14:textId="77777777" w:rsidR="007F04E2" w:rsidRPr="00031745" w:rsidRDefault="007F04E2" w:rsidP="007F04E2">
            <w:pPr>
              <w:pStyle w:val="21TableBodyMiddle"/>
              <w:rPr>
                <w:snapToGrid w:val="0"/>
              </w:rPr>
            </w:pPr>
            <w:r w:rsidRPr="00031745">
              <w:rPr>
                <w:snapToGrid w:val="0"/>
              </w:rPr>
              <w:t>The study revealed better clinical outcomes regarding burn traumas dressed by honey than in Ag-SD. Honey increased the rate of healing. It also improved overall patient compliance and significantly reduces the cost of dressing changes.</w:t>
            </w:r>
          </w:p>
        </w:tc>
      </w:tr>
      <w:tr w:rsidR="007F04E2" w:rsidRPr="00031745" w14:paraId="3151DBE2" w14:textId="77777777" w:rsidTr="00BE760D">
        <w:trPr>
          <w:trHeight w:val="20"/>
          <w:jc w:val="center"/>
        </w:trPr>
        <w:tc>
          <w:tcPr>
            <w:tcW w:w="1423" w:type="dxa"/>
            <w:vMerge/>
            <w:vAlign w:val="center"/>
          </w:tcPr>
          <w:p w14:paraId="52EB04EF" w14:textId="77777777" w:rsidR="007F04E2" w:rsidRPr="00031745" w:rsidRDefault="007F04E2" w:rsidP="007F04E2">
            <w:pPr>
              <w:pStyle w:val="21TableBodyMiddle"/>
              <w:rPr>
                <w:snapToGrid w:val="0"/>
              </w:rPr>
            </w:pPr>
          </w:p>
        </w:tc>
        <w:tc>
          <w:tcPr>
            <w:tcW w:w="1367" w:type="dxa"/>
            <w:vAlign w:val="center"/>
          </w:tcPr>
          <w:p w14:paraId="1D291959" w14:textId="77777777" w:rsidR="007F04E2" w:rsidRPr="00031745" w:rsidRDefault="007F04E2" w:rsidP="007F04E2">
            <w:pPr>
              <w:pStyle w:val="21TableBodyMiddle"/>
              <w:rPr>
                <w:snapToGrid w:val="0"/>
              </w:rPr>
            </w:pPr>
            <w:r w:rsidRPr="00031745">
              <w:rPr>
                <w:snapToGrid w:val="0"/>
              </w:rPr>
              <w:t>Saaiq, 2023</w:t>
            </w:r>
          </w:p>
        </w:tc>
        <w:tc>
          <w:tcPr>
            <w:tcW w:w="2552" w:type="dxa"/>
            <w:vAlign w:val="center"/>
          </w:tcPr>
          <w:p w14:paraId="4CBE1A9D" w14:textId="77777777" w:rsidR="007F04E2" w:rsidRPr="00031745" w:rsidRDefault="007F04E2" w:rsidP="007F04E2">
            <w:pPr>
              <w:pStyle w:val="21TableBodyMiddle"/>
              <w:rPr>
                <w:snapToGrid w:val="0"/>
              </w:rPr>
            </w:pPr>
            <w:r w:rsidRPr="00031745">
              <w:rPr>
                <w:snapToGrid w:val="0"/>
              </w:rPr>
              <w:t>Children with superficial partial-thickness and deep partial-thickness burns.</w:t>
            </w:r>
          </w:p>
          <w:p w14:paraId="340FC41D" w14:textId="77777777" w:rsidR="007F04E2" w:rsidRPr="00031745" w:rsidRDefault="007F04E2" w:rsidP="007F04E2">
            <w:pPr>
              <w:pStyle w:val="21TableBodyMiddle"/>
              <w:rPr>
                <w:i/>
                <w:iCs/>
                <w:snapToGrid w:val="0"/>
              </w:rPr>
            </w:pPr>
            <w:r w:rsidRPr="00031745">
              <w:rPr>
                <w:i/>
                <w:iCs/>
                <w:snapToGrid w:val="0"/>
              </w:rPr>
              <w:t>n = 100</w:t>
            </w:r>
          </w:p>
        </w:tc>
        <w:tc>
          <w:tcPr>
            <w:tcW w:w="3827" w:type="dxa"/>
            <w:vAlign w:val="center"/>
          </w:tcPr>
          <w:p w14:paraId="5BE36686" w14:textId="77777777" w:rsidR="007F04E2" w:rsidRPr="00031745" w:rsidRDefault="007F04E2" w:rsidP="007F04E2">
            <w:pPr>
              <w:pStyle w:val="21TableBodyMiddle"/>
              <w:rPr>
                <w:i/>
                <w:iCs/>
                <w:snapToGrid w:val="0"/>
              </w:rPr>
            </w:pPr>
            <w:r w:rsidRPr="00031745">
              <w:rPr>
                <w:i/>
                <w:iCs/>
                <w:snapToGrid w:val="0"/>
              </w:rPr>
              <w:t>Comparative study</w:t>
            </w:r>
          </w:p>
          <w:p w14:paraId="3DE1024A" w14:textId="77777777" w:rsidR="007F04E2" w:rsidRPr="00031745" w:rsidRDefault="007F04E2" w:rsidP="007F04E2">
            <w:pPr>
              <w:pStyle w:val="21TableBodyMiddle"/>
              <w:rPr>
                <w:snapToGrid w:val="0"/>
              </w:rPr>
            </w:pPr>
            <w:r w:rsidRPr="00031745">
              <w:rPr>
                <w:i/>
                <w:iCs/>
                <w:snapToGrid w:val="0"/>
              </w:rPr>
              <w:t xml:space="preserve">Intervention: </w:t>
            </w:r>
            <w:r w:rsidRPr="00031745">
              <w:rPr>
                <w:snapToGrid w:val="0"/>
              </w:rPr>
              <w:t>Hydrocolloid dressing (</w:t>
            </w:r>
            <w:r w:rsidRPr="00031745">
              <w:rPr>
                <w:i/>
                <w:iCs/>
                <w:snapToGrid w:val="0"/>
              </w:rPr>
              <w:t>n = 50</w:t>
            </w:r>
            <w:r w:rsidRPr="00031745">
              <w:rPr>
                <w:snapToGrid w:val="0"/>
              </w:rPr>
              <w:t>) vs 1% silver sulphadiazine (SSD) (</w:t>
            </w:r>
            <w:r w:rsidRPr="00031745">
              <w:rPr>
                <w:i/>
                <w:iCs/>
                <w:snapToGrid w:val="0"/>
              </w:rPr>
              <w:t>n = 50</w:t>
            </w:r>
            <w:r w:rsidRPr="00031745">
              <w:rPr>
                <w:snapToGrid w:val="0"/>
              </w:rPr>
              <w:t>)</w:t>
            </w:r>
          </w:p>
        </w:tc>
        <w:tc>
          <w:tcPr>
            <w:tcW w:w="5877" w:type="dxa"/>
            <w:vAlign w:val="center"/>
          </w:tcPr>
          <w:p w14:paraId="7C21A207" w14:textId="77777777" w:rsidR="007F04E2" w:rsidRPr="00031745" w:rsidRDefault="007F04E2" w:rsidP="007F04E2">
            <w:pPr>
              <w:pStyle w:val="21TableBodyMiddle"/>
              <w:rPr>
                <w:snapToGrid w:val="0"/>
              </w:rPr>
            </w:pPr>
            <w:r w:rsidRPr="00031745">
              <w:rPr>
                <w:snapToGrid w:val="0"/>
              </w:rPr>
              <w:t>Hydrocolloid dressings yielded superior results in terms of complete healing of the scalds, healing time, the mean number of dressings required to achieve healing, and less frequent need for split thickness skin grafting at three weeks.</w:t>
            </w:r>
          </w:p>
        </w:tc>
      </w:tr>
      <w:tr w:rsidR="007F04E2" w:rsidRPr="00031745" w14:paraId="14D47CE1" w14:textId="77777777" w:rsidTr="00BE760D">
        <w:trPr>
          <w:trHeight w:val="20"/>
          <w:jc w:val="center"/>
        </w:trPr>
        <w:tc>
          <w:tcPr>
            <w:tcW w:w="1423" w:type="dxa"/>
            <w:vMerge/>
            <w:vAlign w:val="center"/>
          </w:tcPr>
          <w:p w14:paraId="2C6D31F6" w14:textId="77777777" w:rsidR="007F04E2" w:rsidRPr="00031745" w:rsidRDefault="007F04E2" w:rsidP="007F04E2">
            <w:pPr>
              <w:pStyle w:val="21TableBodyMiddle"/>
              <w:rPr>
                <w:snapToGrid w:val="0"/>
              </w:rPr>
            </w:pPr>
          </w:p>
        </w:tc>
        <w:tc>
          <w:tcPr>
            <w:tcW w:w="1367" w:type="dxa"/>
            <w:vAlign w:val="center"/>
          </w:tcPr>
          <w:p w14:paraId="7422816E" w14:textId="77777777" w:rsidR="007F04E2" w:rsidRPr="00031745" w:rsidRDefault="007F04E2" w:rsidP="007F04E2">
            <w:pPr>
              <w:pStyle w:val="21TableBodyMiddle"/>
              <w:rPr>
                <w:snapToGrid w:val="0"/>
              </w:rPr>
            </w:pPr>
            <w:r w:rsidRPr="00031745">
              <w:rPr>
                <w:snapToGrid w:val="0"/>
              </w:rPr>
              <w:t>Singh A., Bhatnagar A. 2020</w:t>
            </w:r>
          </w:p>
        </w:tc>
        <w:tc>
          <w:tcPr>
            <w:tcW w:w="2552" w:type="dxa"/>
            <w:vAlign w:val="center"/>
          </w:tcPr>
          <w:p w14:paraId="6ACC5BB5" w14:textId="77777777" w:rsidR="007F04E2" w:rsidRPr="00031745" w:rsidRDefault="007F04E2" w:rsidP="007F04E2">
            <w:pPr>
              <w:pStyle w:val="21TableBodyMiddle"/>
              <w:rPr>
                <w:snapToGrid w:val="0"/>
              </w:rPr>
            </w:pPr>
            <w:r w:rsidRPr="00031745">
              <w:rPr>
                <w:snapToGrid w:val="0"/>
              </w:rPr>
              <w:t>Pediatrics with fresh acute superficial partial thickness burns</w:t>
            </w:r>
          </w:p>
          <w:p w14:paraId="3CE72D9C" w14:textId="77777777" w:rsidR="007F04E2" w:rsidRPr="00031745" w:rsidRDefault="007F04E2" w:rsidP="007F04E2">
            <w:pPr>
              <w:pStyle w:val="21TableBodyMiddle"/>
              <w:rPr>
                <w:snapToGrid w:val="0"/>
              </w:rPr>
            </w:pPr>
            <w:r w:rsidRPr="00031745">
              <w:rPr>
                <w:i/>
                <w:snapToGrid w:val="0"/>
              </w:rPr>
              <w:t>n = 68</w:t>
            </w:r>
          </w:p>
        </w:tc>
        <w:tc>
          <w:tcPr>
            <w:tcW w:w="3827" w:type="dxa"/>
            <w:vAlign w:val="center"/>
          </w:tcPr>
          <w:p w14:paraId="0BCD8115" w14:textId="77777777" w:rsidR="007F04E2" w:rsidRPr="00031745" w:rsidRDefault="007F04E2" w:rsidP="007F04E2">
            <w:pPr>
              <w:pStyle w:val="21TableBodyMiddle"/>
              <w:rPr>
                <w:i/>
                <w:snapToGrid w:val="0"/>
              </w:rPr>
            </w:pPr>
            <w:r w:rsidRPr="00031745">
              <w:rPr>
                <w:i/>
                <w:snapToGrid w:val="0"/>
              </w:rPr>
              <w:t>Quasi-Experimental Design</w:t>
            </w:r>
          </w:p>
          <w:p w14:paraId="65DDBA13" w14:textId="77777777" w:rsidR="007F04E2" w:rsidRPr="00031745" w:rsidRDefault="007F04E2" w:rsidP="007F04E2">
            <w:pPr>
              <w:pStyle w:val="21TableBodyMiddle"/>
              <w:rPr>
                <w:snapToGrid w:val="0"/>
              </w:rPr>
            </w:pPr>
            <w:r w:rsidRPr="00031745">
              <w:rPr>
                <w:i/>
                <w:snapToGrid w:val="0"/>
              </w:rPr>
              <w:t>Intervention</w:t>
            </w:r>
            <w:r w:rsidRPr="00031745">
              <w:rPr>
                <w:snapToGrid w:val="0"/>
              </w:rPr>
              <w:t>: Collagen dressing group (n=44)</w:t>
            </w:r>
          </w:p>
          <w:p w14:paraId="063854A1" w14:textId="77777777" w:rsidR="007F04E2" w:rsidRPr="00031745" w:rsidRDefault="007F04E2" w:rsidP="007F04E2">
            <w:pPr>
              <w:pStyle w:val="21TableBodyMiddle"/>
              <w:rPr>
                <w:snapToGrid w:val="0"/>
              </w:rPr>
            </w:pPr>
            <w:r w:rsidRPr="00031745">
              <w:rPr>
                <w:i/>
                <w:snapToGrid w:val="0"/>
              </w:rPr>
              <w:t xml:space="preserve">Intervention: </w:t>
            </w:r>
            <w:r w:rsidRPr="00031745">
              <w:rPr>
                <w:iCs/>
                <w:snapToGrid w:val="0"/>
              </w:rPr>
              <w:t>Paraffin Gauze plus silver sulfadiazine</w:t>
            </w:r>
            <w:r w:rsidRPr="00031745">
              <w:rPr>
                <w:i/>
                <w:snapToGrid w:val="0"/>
              </w:rPr>
              <w:t xml:space="preserve"> (n = 24)</w:t>
            </w:r>
          </w:p>
        </w:tc>
        <w:tc>
          <w:tcPr>
            <w:tcW w:w="5877" w:type="dxa"/>
            <w:vAlign w:val="center"/>
          </w:tcPr>
          <w:p w14:paraId="3A136347" w14:textId="77777777" w:rsidR="007F04E2" w:rsidRPr="00031745" w:rsidRDefault="007F04E2" w:rsidP="007F04E2">
            <w:pPr>
              <w:pStyle w:val="21TableBodyMiddle"/>
              <w:rPr>
                <w:snapToGrid w:val="0"/>
              </w:rPr>
            </w:pPr>
            <w:r w:rsidRPr="00031745">
              <w:rPr>
                <w:snapToGrid w:val="0"/>
              </w:rPr>
              <w:t>Collagen dressing was proven to be highly effective in treating burn patients of all ages who had superficial partial thickness burns. The 44 patients who received collagen dressing had better pain relief, less dressing changes required, and more improved wound healing than the 24 subjects in the PG group. Collagen dressing should be avoided when wound infection is present.</w:t>
            </w:r>
          </w:p>
        </w:tc>
      </w:tr>
      <w:tr w:rsidR="007F04E2" w:rsidRPr="00031745" w14:paraId="6C4D8C11" w14:textId="77777777" w:rsidTr="00BE760D">
        <w:trPr>
          <w:trHeight w:val="20"/>
          <w:jc w:val="center"/>
        </w:trPr>
        <w:tc>
          <w:tcPr>
            <w:tcW w:w="1423" w:type="dxa"/>
            <w:vAlign w:val="center"/>
          </w:tcPr>
          <w:p w14:paraId="36C76E4C" w14:textId="77777777" w:rsidR="007F04E2" w:rsidRPr="00031745" w:rsidRDefault="007F04E2" w:rsidP="007F04E2">
            <w:pPr>
              <w:pStyle w:val="21TableBodyMiddle"/>
              <w:rPr>
                <w:snapToGrid w:val="0"/>
              </w:rPr>
            </w:pPr>
          </w:p>
        </w:tc>
        <w:tc>
          <w:tcPr>
            <w:tcW w:w="1367" w:type="dxa"/>
            <w:vAlign w:val="center"/>
          </w:tcPr>
          <w:p w14:paraId="1BDF3A0B" w14:textId="77777777" w:rsidR="007F04E2" w:rsidRPr="00031745" w:rsidRDefault="007F04E2" w:rsidP="007F04E2">
            <w:pPr>
              <w:pStyle w:val="21TableBodyMiddle"/>
              <w:rPr>
                <w:snapToGrid w:val="0"/>
              </w:rPr>
            </w:pPr>
            <w:r w:rsidRPr="00031745">
              <w:rPr>
                <w:snapToGrid w:val="0"/>
              </w:rPr>
              <w:t>Wang et al, 2022</w:t>
            </w:r>
          </w:p>
        </w:tc>
        <w:tc>
          <w:tcPr>
            <w:tcW w:w="2552" w:type="dxa"/>
            <w:vAlign w:val="center"/>
          </w:tcPr>
          <w:p w14:paraId="5DC28911" w14:textId="77777777" w:rsidR="007F04E2" w:rsidRPr="00031745" w:rsidRDefault="007F04E2" w:rsidP="007F04E2">
            <w:pPr>
              <w:pStyle w:val="21TableBodyMiddle"/>
              <w:rPr>
                <w:snapToGrid w:val="0"/>
              </w:rPr>
            </w:pPr>
            <w:r w:rsidRPr="00031745">
              <w:rPr>
                <w:snapToGrid w:val="0"/>
              </w:rPr>
              <w:t xml:space="preserve">Pediatric patients with limb and trunk </w:t>
            </w:r>
            <w:proofErr w:type="gramStart"/>
            <w:r w:rsidRPr="00031745">
              <w:rPr>
                <w:snapToGrid w:val="0"/>
              </w:rPr>
              <w:lastRenderedPageBreak/>
              <w:t>burns</w:t>
            </w:r>
            <w:proofErr w:type="gramEnd"/>
          </w:p>
          <w:p w14:paraId="0B113F8C" w14:textId="77777777" w:rsidR="007F04E2" w:rsidRPr="00031745" w:rsidRDefault="007F04E2" w:rsidP="007F04E2">
            <w:pPr>
              <w:pStyle w:val="21TableBodyMiddle"/>
              <w:rPr>
                <w:i/>
                <w:iCs/>
                <w:snapToGrid w:val="0"/>
              </w:rPr>
            </w:pPr>
            <w:r w:rsidRPr="00031745">
              <w:rPr>
                <w:i/>
                <w:iCs/>
                <w:snapToGrid w:val="0"/>
              </w:rPr>
              <w:t>n = 92</w:t>
            </w:r>
          </w:p>
        </w:tc>
        <w:tc>
          <w:tcPr>
            <w:tcW w:w="3827" w:type="dxa"/>
            <w:vAlign w:val="center"/>
          </w:tcPr>
          <w:p w14:paraId="2FBFA6B1" w14:textId="77777777" w:rsidR="007F04E2" w:rsidRPr="00031745" w:rsidRDefault="007F04E2" w:rsidP="007F04E2">
            <w:pPr>
              <w:pStyle w:val="21TableBodyMiddle"/>
              <w:rPr>
                <w:i/>
                <w:snapToGrid w:val="0"/>
              </w:rPr>
            </w:pPr>
            <w:r w:rsidRPr="00031745">
              <w:rPr>
                <w:i/>
                <w:snapToGrid w:val="0"/>
              </w:rPr>
              <w:lastRenderedPageBreak/>
              <w:t>Retrospective Review</w:t>
            </w:r>
          </w:p>
          <w:p w14:paraId="666A9D0E" w14:textId="77777777" w:rsidR="007F04E2" w:rsidRPr="00031745" w:rsidRDefault="007F04E2" w:rsidP="007F04E2">
            <w:pPr>
              <w:pStyle w:val="21TableBodyMiddle"/>
              <w:rPr>
                <w:i/>
                <w:snapToGrid w:val="0"/>
              </w:rPr>
            </w:pPr>
            <w:r w:rsidRPr="00031745">
              <w:rPr>
                <w:i/>
                <w:snapToGrid w:val="0"/>
              </w:rPr>
              <w:t xml:space="preserve">Intervention: </w:t>
            </w:r>
            <w:r w:rsidRPr="00031745">
              <w:rPr>
                <w:iCs/>
                <w:snapToGrid w:val="0"/>
              </w:rPr>
              <w:t xml:space="preserve">Silver-containing </w:t>
            </w:r>
            <w:r w:rsidRPr="00031745">
              <w:rPr>
                <w:iCs/>
                <w:snapToGrid w:val="0"/>
              </w:rPr>
              <w:lastRenderedPageBreak/>
              <w:t xml:space="preserve">Hydrofiber (SHDs) </w:t>
            </w:r>
            <w:r w:rsidRPr="00031745">
              <w:rPr>
                <w:i/>
                <w:snapToGrid w:val="0"/>
              </w:rPr>
              <w:t>(n = 52)</w:t>
            </w:r>
            <w:r w:rsidRPr="00031745">
              <w:rPr>
                <w:iCs/>
                <w:snapToGrid w:val="0"/>
              </w:rPr>
              <w:t xml:space="preserve"> vs silver sulphadiazine cream (SS) </w:t>
            </w:r>
            <w:r w:rsidRPr="00031745">
              <w:rPr>
                <w:i/>
                <w:snapToGrid w:val="0"/>
              </w:rPr>
              <w:t>(n = 40)</w:t>
            </w:r>
          </w:p>
        </w:tc>
        <w:tc>
          <w:tcPr>
            <w:tcW w:w="5877" w:type="dxa"/>
            <w:vAlign w:val="center"/>
          </w:tcPr>
          <w:p w14:paraId="23180A3D" w14:textId="77777777" w:rsidR="007F04E2" w:rsidRPr="00031745" w:rsidRDefault="007F04E2" w:rsidP="007F04E2">
            <w:pPr>
              <w:pStyle w:val="21TableBodyMiddle"/>
              <w:rPr>
                <w:snapToGrid w:val="0"/>
              </w:rPr>
            </w:pPr>
            <w:r w:rsidRPr="00031745">
              <w:rPr>
                <w:snapToGrid w:val="0"/>
              </w:rPr>
              <w:lastRenderedPageBreak/>
              <w:t xml:space="preserve">This study revealed that when SS cream was compared to SHD use for treatment of burns, the SHD </w:t>
            </w:r>
            <w:r w:rsidRPr="00031745">
              <w:rPr>
                <w:snapToGrid w:val="0"/>
              </w:rPr>
              <w:lastRenderedPageBreak/>
              <w:t>was found to be a safe, effective, and economical therapeutic method for treating burns in the pediatric patients included in this study.</w:t>
            </w:r>
          </w:p>
        </w:tc>
      </w:tr>
      <w:tr w:rsidR="007F04E2" w:rsidRPr="00031745" w14:paraId="0223DC49" w14:textId="77777777" w:rsidTr="00BE760D">
        <w:trPr>
          <w:trHeight w:val="20"/>
          <w:jc w:val="center"/>
        </w:trPr>
        <w:tc>
          <w:tcPr>
            <w:tcW w:w="1423" w:type="dxa"/>
            <w:vMerge w:val="restart"/>
            <w:vAlign w:val="center"/>
          </w:tcPr>
          <w:p w14:paraId="76035412" w14:textId="77777777" w:rsidR="007F04E2" w:rsidRPr="00031745" w:rsidRDefault="007F04E2" w:rsidP="007F04E2">
            <w:pPr>
              <w:pStyle w:val="21TableBodyMiddle"/>
              <w:rPr>
                <w:snapToGrid w:val="0"/>
              </w:rPr>
            </w:pPr>
            <w:r w:rsidRPr="00031745">
              <w:rPr>
                <w:snapToGrid w:val="0"/>
              </w:rPr>
              <w:lastRenderedPageBreak/>
              <w:t>Diaper Dermatitis</w:t>
            </w:r>
          </w:p>
        </w:tc>
        <w:tc>
          <w:tcPr>
            <w:tcW w:w="1367" w:type="dxa"/>
            <w:vAlign w:val="center"/>
          </w:tcPr>
          <w:p w14:paraId="78BD25F4" w14:textId="77777777" w:rsidR="007F04E2" w:rsidRPr="00031745" w:rsidRDefault="007F04E2" w:rsidP="007F04E2">
            <w:pPr>
              <w:pStyle w:val="21TableBodyMiddle"/>
              <w:rPr>
                <w:snapToGrid w:val="0"/>
              </w:rPr>
            </w:pPr>
            <w:r w:rsidRPr="00031745">
              <w:rPr>
                <w:snapToGrid w:val="0"/>
              </w:rPr>
              <w:t>Atikasari et al, 2021</w:t>
            </w:r>
          </w:p>
        </w:tc>
        <w:tc>
          <w:tcPr>
            <w:tcW w:w="2552" w:type="dxa"/>
            <w:vAlign w:val="center"/>
          </w:tcPr>
          <w:p w14:paraId="0B6605BE" w14:textId="77777777" w:rsidR="007F04E2" w:rsidRPr="00031745" w:rsidRDefault="007F04E2" w:rsidP="007F04E2">
            <w:pPr>
              <w:pStyle w:val="21TableBodyMiddle"/>
              <w:rPr>
                <w:snapToGrid w:val="0"/>
              </w:rPr>
            </w:pPr>
            <w:r w:rsidRPr="00031745">
              <w:rPr>
                <w:snapToGrid w:val="0"/>
              </w:rPr>
              <w:t>Toddlers and infants with diaper dermatitis</w:t>
            </w:r>
          </w:p>
          <w:p w14:paraId="63F7067D" w14:textId="77777777" w:rsidR="007F04E2" w:rsidRPr="00031745" w:rsidRDefault="007F04E2" w:rsidP="007F04E2">
            <w:pPr>
              <w:pStyle w:val="21TableBodyMiddle"/>
              <w:rPr>
                <w:i/>
                <w:snapToGrid w:val="0"/>
              </w:rPr>
            </w:pPr>
            <w:r w:rsidRPr="00031745">
              <w:rPr>
                <w:i/>
                <w:snapToGrid w:val="0"/>
              </w:rPr>
              <w:t>Systematic Review: n = 289</w:t>
            </w:r>
          </w:p>
          <w:p w14:paraId="16C0D9A8" w14:textId="77777777" w:rsidR="007F04E2" w:rsidRPr="00031745" w:rsidRDefault="007F04E2" w:rsidP="007F04E2">
            <w:pPr>
              <w:pStyle w:val="21TableBodyMiddle"/>
              <w:rPr>
                <w:i/>
                <w:snapToGrid w:val="0"/>
              </w:rPr>
            </w:pPr>
            <w:r w:rsidRPr="00031745">
              <w:rPr>
                <w:i/>
                <w:snapToGrid w:val="0"/>
              </w:rPr>
              <w:t>Meta-analysis: n = 214</w:t>
            </w:r>
          </w:p>
        </w:tc>
        <w:tc>
          <w:tcPr>
            <w:tcW w:w="3827" w:type="dxa"/>
            <w:vAlign w:val="center"/>
          </w:tcPr>
          <w:p w14:paraId="7F6AB940" w14:textId="77777777" w:rsidR="007F04E2" w:rsidRPr="00031745" w:rsidRDefault="007F04E2" w:rsidP="007F04E2">
            <w:pPr>
              <w:pStyle w:val="21TableBodyMiddle"/>
              <w:rPr>
                <w:i/>
                <w:snapToGrid w:val="0"/>
              </w:rPr>
            </w:pPr>
            <w:r w:rsidRPr="00031745">
              <w:rPr>
                <w:i/>
                <w:snapToGrid w:val="0"/>
              </w:rPr>
              <w:t>Systematic Review and Meta-Analysis</w:t>
            </w:r>
          </w:p>
          <w:p w14:paraId="3C51C76F" w14:textId="77777777" w:rsidR="007F04E2" w:rsidRPr="00031745" w:rsidRDefault="007F04E2" w:rsidP="007F04E2">
            <w:pPr>
              <w:pStyle w:val="21TableBodyMiddle"/>
              <w:rPr>
                <w:snapToGrid w:val="0"/>
              </w:rPr>
            </w:pPr>
            <w:r w:rsidRPr="00031745">
              <w:rPr>
                <w:i/>
                <w:snapToGrid w:val="0"/>
              </w:rPr>
              <w:t>Intervention:</w:t>
            </w:r>
            <w:r w:rsidRPr="00031745">
              <w:rPr>
                <w:snapToGrid w:val="0"/>
              </w:rPr>
              <w:t xml:space="preserve"> Assess the effectiveness of </w:t>
            </w:r>
            <w:r w:rsidRPr="00031745">
              <w:rPr>
                <w:snapToGrid w:val="0"/>
              </w:rPr>
              <w:br/>
              <w:t>Topical Aloe Vera</w:t>
            </w:r>
          </w:p>
          <w:p w14:paraId="285CB87B" w14:textId="77777777" w:rsidR="007F04E2" w:rsidRPr="00031745" w:rsidRDefault="007F04E2" w:rsidP="007F04E2">
            <w:pPr>
              <w:pStyle w:val="21TableBodyMiddle"/>
              <w:rPr>
                <w:snapToGrid w:val="0"/>
              </w:rPr>
            </w:pPr>
            <w:r w:rsidRPr="00031745">
              <w:rPr>
                <w:snapToGrid w:val="0"/>
              </w:rPr>
              <w:t>Control Group: standard therapy</w:t>
            </w:r>
          </w:p>
        </w:tc>
        <w:tc>
          <w:tcPr>
            <w:tcW w:w="5877" w:type="dxa"/>
            <w:vAlign w:val="center"/>
          </w:tcPr>
          <w:p w14:paraId="081E0148" w14:textId="77777777" w:rsidR="007F04E2" w:rsidRPr="00031745" w:rsidRDefault="007F04E2" w:rsidP="007F04E2">
            <w:pPr>
              <w:pStyle w:val="21TableBodyMiddle"/>
              <w:rPr>
                <w:snapToGrid w:val="0"/>
              </w:rPr>
            </w:pPr>
            <w:r w:rsidRPr="00031745">
              <w:rPr>
                <w:snapToGrid w:val="0"/>
              </w:rPr>
              <w:t>In the systematic reviews and meta-analysis (5 and 4 articles respectively), there were results that showed slight differences between subjects receiving aloe vera and those in control groups, but other results found significant differences. Overall topical aloe vera appears to be more effective and based on the analysis, topical aloe vera improves skin barrier function in patients with diaper dermatitis.</w:t>
            </w:r>
          </w:p>
        </w:tc>
      </w:tr>
      <w:tr w:rsidR="007F04E2" w:rsidRPr="00031745" w14:paraId="7D4F63AD" w14:textId="77777777" w:rsidTr="00BE760D">
        <w:trPr>
          <w:trHeight w:val="20"/>
          <w:jc w:val="center"/>
        </w:trPr>
        <w:tc>
          <w:tcPr>
            <w:tcW w:w="1423" w:type="dxa"/>
            <w:vMerge/>
            <w:vAlign w:val="center"/>
          </w:tcPr>
          <w:p w14:paraId="34C687AE" w14:textId="77777777" w:rsidR="007F04E2" w:rsidRPr="00031745" w:rsidRDefault="007F04E2" w:rsidP="007F04E2">
            <w:pPr>
              <w:pStyle w:val="21TableBodyMiddle"/>
              <w:rPr>
                <w:snapToGrid w:val="0"/>
              </w:rPr>
            </w:pPr>
          </w:p>
        </w:tc>
        <w:tc>
          <w:tcPr>
            <w:tcW w:w="1367" w:type="dxa"/>
            <w:vAlign w:val="center"/>
          </w:tcPr>
          <w:p w14:paraId="3F4FE9AB" w14:textId="77777777" w:rsidR="007F04E2" w:rsidRPr="00031745" w:rsidRDefault="007F04E2" w:rsidP="007F04E2">
            <w:pPr>
              <w:pStyle w:val="21TableBodyMiddle"/>
              <w:rPr>
                <w:snapToGrid w:val="0"/>
              </w:rPr>
            </w:pPr>
            <w:r w:rsidRPr="00031745">
              <w:rPr>
                <w:snapToGrid w:val="0"/>
              </w:rPr>
              <w:t>Bartels et al, 2014</w:t>
            </w:r>
          </w:p>
        </w:tc>
        <w:tc>
          <w:tcPr>
            <w:tcW w:w="2552" w:type="dxa"/>
            <w:vAlign w:val="center"/>
          </w:tcPr>
          <w:p w14:paraId="77C40C3A" w14:textId="77777777" w:rsidR="007F04E2" w:rsidRPr="00031745" w:rsidRDefault="007F04E2" w:rsidP="007F04E2">
            <w:pPr>
              <w:pStyle w:val="21TableBodyMiddle"/>
              <w:rPr>
                <w:snapToGrid w:val="0"/>
              </w:rPr>
            </w:pPr>
            <w:r w:rsidRPr="00031745">
              <w:rPr>
                <w:snapToGrid w:val="0"/>
              </w:rPr>
              <w:t>Healthy 9-month-old infants</w:t>
            </w:r>
          </w:p>
          <w:p w14:paraId="3715F55F" w14:textId="77777777" w:rsidR="007F04E2" w:rsidRPr="00031745" w:rsidRDefault="007F04E2" w:rsidP="007F04E2">
            <w:pPr>
              <w:pStyle w:val="21TableBodyMiddle"/>
              <w:rPr>
                <w:i/>
                <w:snapToGrid w:val="0"/>
              </w:rPr>
            </w:pPr>
            <w:r w:rsidRPr="00031745">
              <w:rPr>
                <w:i/>
                <w:snapToGrid w:val="0"/>
              </w:rPr>
              <w:t>n = 89</w:t>
            </w:r>
          </w:p>
        </w:tc>
        <w:tc>
          <w:tcPr>
            <w:tcW w:w="3827" w:type="dxa"/>
            <w:vAlign w:val="center"/>
          </w:tcPr>
          <w:p w14:paraId="6073115B" w14:textId="77777777" w:rsidR="007F04E2" w:rsidRPr="00031745" w:rsidRDefault="007F04E2" w:rsidP="007F04E2">
            <w:pPr>
              <w:pStyle w:val="21TableBodyMiddle"/>
              <w:rPr>
                <w:i/>
                <w:snapToGrid w:val="0"/>
              </w:rPr>
            </w:pPr>
            <w:r w:rsidRPr="00031745">
              <w:rPr>
                <w:i/>
                <w:snapToGrid w:val="0"/>
              </w:rPr>
              <w:t>Prospective Randomized Control Trial</w:t>
            </w:r>
          </w:p>
          <w:p w14:paraId="396DB3B7" w14:textId="77777777" w:rsidR="007F04E2" w:rsidRPr="00031745" w:rsidRDefault="007F04E2" w:rsidP="007F04E2">
            <w:pPr>
              <w:pStyle w:val="21TableBodyMiddle"/>
              <w:rPr>
                <w:snapToGrid w:val="0"/>
              </w:rPr>
            </w:pPr>
            <w:r w:rsidRPr="00031745">
              <w:rPr>
                <w:i/>
                <w:snapToGrid w:val="0"/>
              </w:rPr>
              <w:t>Intervention</w:t>
            </w:r>
            <w:r w:rsidRPr="00031745">
              <w:rPr>
                <w:snapToGrid w:val="0"/>
              </w:rPr>
              <w:t>: 3 different diaper care regimes</w:t>
            </w:r>
          </w:p>
          <w:p w14:paraId="40943D49" w14:textId="77777777" w:rsidR="007F04E2" w:rsidRPr="00031745" w:rsidRDefault="007F04E2" w:rsidP="007F04E2">
            <w:pPr>
              <w:pStyle w:val="21TableBodyMiddle"/>
              <w:rPr>
                <w:snapToGrid w:val="0"/>
              </w:rPr>
            </w:pPr>
            <w:r w:rsidRPr="00031745">
              <w:rPr>
                <w:snapToGrid w:val="0"/>
              </w:rPr>
              <w:t>1) water-moistened washcloths during diaper change (</w:t>
            </w:r>
            <w:r w:rsidRPr="00031745">
              <w:rPr>
                <w:i/>
                <w:iCs/>
                <w:snapToGrid w:val="0"/>
              </w:rPr>
              <w:t>n = 30</w:t>
            </w:r>
            <w:r w:rsidRPr="00031745">
              <w:rPr>
                <w:snapToGrid w:val="0"/>
              </w:rPr>
              <w:t>)</w:t>
            </w:r>
          </w:p>
          <w:p w14:paraId="11FFF024" w14:textId="77777777" w:rsidR="007F04E2" w:rsidRPr="00031745" w:rsidRDefault="007F04E2" w:rsidP="007F04E2">
            <w:pPr>
              <w:pStyle w:val="21TableBodyMiddle"/>
              <w:rPr>
                <w:snapToGrid w:val="0"/>
              </w:rPr>
            </w:pPr>
            <w:r w:rsidRPr="00031745">
              <w:rPr>
                <w:snapToGrid w:val="0"/>
              </w:rPr>
              <w:t>2) diaper cream 2x a day (</w:t>
            </w:r>
            <w:r w:rsidRPr="00031745">
              <w:rPr>
                <w:i/>
                <w:iCs/>
                <w:snapToGrid w:val="0"/>
              </w:rPr>
              <w:t>n = 28</w:t>
            </w:r>
            <w:r w:rsidRPr="00031745">
              <w:rPr>
                <w:snapToGrid w:val="0"/>
              </w:rPr>
              <w:t>)</w:t>
            </w:r>
          </w:p>
          <w:p w14:paraId="22AC47A8" w14:textId="77777777" w:rsidR="007F04E2" w:rsidRPr="00031745" w:rsidRDefault="007F04E2" w:rsidP="007F04E2">
            <w:pPr>
              <w:pStyle w:val="21TableBodyMiddle"/>
              <w:rPr>
                <w:snapToGrid w:val="0"/>
              </w:rPr>
            </w:pPr>
            <w:r w:rsidRPr="00031745">
              <w:rPr>
                <w:snapToGrid w:val="0"/>
              </w:rPr>
              <w:t>3) wet wipes and diaper cream 2x a day (</w:t>
            </w:r>
            <w:r w:rsidRPr="00031745">
              <w:rPr>
                <w:i/>
                <w:iCs/>
                <w:snapToGrid w:val="0"/>
              </w:rPr>
              <w:t>n = 31</w:t>
            </w:r>
            <w:r w:rsidRPr="00031745">
              <w:rPr>
                <w:snapToGrid w:val="0"/>
              </w:rPr>
              <w:t>)</w:t>
            </w:r>
          </w:p>
        </w:tc>
        <w:tc>
          <w:tcPr>
            <w:tcW w:w="5877" w:type="dxa"/>
            <w:vAlign w:val="center"/>
          </w:tcPr>
          <w:p w14:paraId="4645C2CF" w14:textId="77777777" w:rsidR="007F04E2" w:rsidRPr="00031745" w:rsidRDefault="007F04E2" w:rsidP="007F04E2">
            <w:pPr>
              <w:pStyle w:val="21TableBodyMiddle"/>
              <w:rPr>
                <w:snapToGrid w:val="0"/>
              </w:rPr>
            </w:pPr>
            <w:r w:rsidRPr="00031745">
              <w:rPr>
                <w:snapToGrid w:val="0"/>
              </w:rPr>
              <w:t xml:space="preserve">Skin hydration (SCH) decreased in infants receiving diaper cream 2x daily (group 2) and those receiving wet wipes and diaper cream 2x daily (group 3). Skin pH also increased from both groups 2 and 3 respectively. Only group 2 experienced a decrease in transepidermal water loss (TEWL). The infants who had diaper cream as part of their treatment, had lower SCH, TEWL, and higher pH levels in the diapered area as opposed to the area of skin without the diaper. </w:t>
            </w:r>
            <w:r w:rsidRPr="00031745">
              <w:rPr>
                <w:snapToGrid w:val="0"/>
              </w:rPr>
              <w:br/>
              <w:t>The prevalence of diaper dermatitis was comparable in all 3 groups.</w:t>
            </w:r>
          </w:p>
        </w:tc>
      </w:tr>
      <w:tr w:rsidR="007F04E2" w:rsidRPr="00031745" w14:paraId="3A350170" w14:textId="77777777" w:rsidTr="00BE760D">
        <w:trPr>
          <w:trHeight w:val="20"/>
          <w:jc w:val="center"/>
        </w:trPr>
        <w:tc>
          <w:tcPr>
            <w:tcW w:w="1423" w:type="dxa"/>
            <w:vMerge/>
            <w:vAlign w:val="center"/>
          </w:tcPr>
          <w:p w14:paraId="69AFD3F0" w14:textId="77777777" w:rsidR="007F04E2" w:rsidRPr="00031745" w:rsidRDefault="007F04E2" w:rsidP="007F04E2">
            <w:pPr>
              <w:pStyle w:val="21TableBodyMiddle"/>
              <w:rPr>
                <w:snapToGrid w:val="0"/>
              </w:rPr>
            </w:pPr>
          </w:p>
        </w:tc>
        <w:tc>
          <w:tcPr>
            <w:tcW w:w="1367" w:type="dxa"/>
            <w:vAlign w:val="center"/>
          </w:tcPr>
          <w:p w14:paraId="19629434" w14:textId="77777777" w:rsidR="007F04E2" w:rsidRPr="00031745" w:rsidRDefault="007F04E2" w:rsidP="007F04E2">
            <w:pPr>
              <w:pStyle w:val="21TableBodyMiddle"/>
              <w:rPr>
                <w:snapToGrid w:val="0"/>
              </w:rPr>
            </w:pPr>
            <w:r w:rsidRPr="00031745">
              <w:rPr>
                <w:snapToGrid w:val="0"/>
              </w:rPr>
              <w:t>Chaithirayanon. 2016</w:t>
            </w:r>
          </w:p>
        </w:tc>
        <w:tc>
          <w:tcPr>
            <w:tcW w:w="2552" w:type="dxa"/>
            <w:vAlign w:val="center"/>
          </w:tcPr>
          <w:p w14:paraId="75DC4596" w14:textId="77777777" w:rsidR="007F04E2" w:rsidRPr="00031745" w:rsidRDefault="007F04E2" w:rsidP="007F04E2">
            <w:pPr>
              <w:pStyle w:val="21TableBodyMiddle"/>
              <w:rPr>
                <w:snapToGrid w:val="0"/>
              </w:rPr>
            </w:pPr>
            <w:r w:rsidRPr="00031745">
              <w:rPr>
                <w:snapToGrid w:val="0"/>
              </w:rPr>
              <w:t>Thai infants between the ages of 6-12 months old</w:t>
            </w:r>
          </w:p>
          <w:p w14:paraId="1E667C43" w14:textId="77777777" w:rsidR="007F04E2" w:rsidRPr="00031745" w:rsidRDefault="007F04E2" w:rsidP="007F04E2">
            <w:pPr>
              <w:pStyle w:val="21TableBodyMiddle"/>
              <w:rPr>
                <w:i/>
                <w:snapToGrid w:val="0"/>
              </w:rPr>
            </w:pPr>
            <w:r w:rsidRPr="00031745">
              <w:rPr>
                <w:i/>
                <w:snapToGrid w:val="0"/>
              </w:rPr>
              <w:t>n = 50</w:t>
            </w:r>
          </w:p>
        </w:tc>
        <w:tc>
          <w:tcPr>
            <w:tcW w:w="3827" w:type="dxa"/>
            <w:vAlign w:val="center"/>
          </w:tcPr>
          <w:p w14:paraId="5CB9D80D" w14:textId="77777777" w:rsidR="007F04E2" w:rsidRPr="00031745" w:rsidRDefault="007F04E2" w:rsidP="007F04E2">
            <w:pPr>
              <w:pStyle w:val="21TableBodyMiddle"/>
              <w:rPr>
                <w:i/>
                <w:snapToGrid w:val="0"/>
              </w:rPr>
            </w:pPr>
            <w:r w:rsidRPr="00031745">
              <w:rPr>
                <w:i/>
                <w:snapToGrid w:val="0"/>
              </w:rPr>
              <w:t>Randomized Control Trial</w:t>
            </w:r>
          </w:p>
          <w:p w14:paraId="60A25006" w14:textId="77777777" w:rsidR="007F04E2" w:rsidRPr="00031745" w:rsidRDefault="007F04E2" w:rsidP="007F04E2">
            <w:pPr>
              <w:pStyle w:val="21TableBodyMiddle"/>
              <w:rPr>
                <w:snapToGrid w:val="0"/>
              </w:rPr>
            </w:pPr>
            <w:r w:rsidRPr="00031745">
              <w:rPr>
                <w:i/>
                <w:snapToGrid w:val="0"/>
              </w:rPr>
              <w:t>Intervention</w:t>
            </w:r>
            <w:r w:rsidRPr="00031745">
              <w:rPr>
                <w:snapToGrid w:val="0"/>
              </w:rPr>
              <w:t>: Topical talcum powder OR</w:t>
            </w:r>
          </w:p>
          <w:p w14:paraId="4DE4E632" w14:textId="77777777" w:rsidR="007F04E2" w:rsidRPr="00031745" w:rsidRDefault="007F04E2" w:rsidP="007F04E2">
            <w:pPr>
              <w:pStyle w:val="21TableBodyMiddle"/>
              <w:rPr>
                <w:snapToGrid w:val="0"/>
              </w:rPr>
            </w:pPr>
            <w:r w:rsidRPr="00031745">
              <w:rPr>
                <w:snapToGrid w:val="0"/>
              </w:rPr>
              <w:t>zinc oxide cream.</w:t>
            </w:r>
          </w:p>
        </w:tc>
        <w:tc>
          <w:tcPr>
            <w:tcW w:w="5877" w:type="dxa"/>
            <w:vAlign w:val="center"/>
          </w:tcPr>
          <w:p w14:paraId="615FFB35" w14:textId="77777777" w:rsidR="007F04E2" w:rsidRPr="00031745" w:rsidRDefault="007F04E2" w:rsidP="007F04E2">
            <w:pPr>
              <w:pStyle w:val="21TableBodyMiddle"/>
              <w:rPr>
                <w:snapToGrid w:val="0"/>
              </w:rPr>
            </w:pPr>
            <w:r w:rsidRPr="00031745">
              <w:rPr>
                <w:snapToGrid w:val="0"/>
              </w:rPr>
              <w:t>Both intervention groups had a similar incidence of dermatitis with the Talcum powder group (4 per 1,000 persons-day) and Zinc oxide cream (2 per 1,000 persons-day). The zinc oxide cream group had a longer duration between episodes of diaper dermatitis as well as a lower risk of diaper dermatitis occurring. The study found that zinc oxide cream is better at preventing irritant contact of diaper dermatitis than topical talcum powder.</w:t>
            </w:r>
          </w:p>
        </w:tc>
      </w:tr>
      <w:tr w:rsidR="007F04E2" w:rsidRPr="00031745" w14:paraId="70BCC88E" w14:textId="77777777" w:rsidTr="00BE760D">
        <w:trPr>
          <w:trHeight w:val="20"/>
          <w:jc w:val="center"/>
        </w:trPr>
        <w:tc>
          <w:tcPr>
            <w:tcW w:w="1423" w:type="dxa"/>
            <w:vMerge/>
            <w:vAlign w:val="center"/>
          </w:tcPr>
          <w:p w14:paraId="1E84EFB8" w14:textId="77777777" w:rsidR="007F04E2" w:rsidRPr="00031745" w:rsidRDefault="007F04E2" w:rsidP="007F04E2">
            <w:pPr>
              <w:pStyle w:val="21TableBodyMiddle"/>
              <w:rPr>
                <w:snapToGrid w:val="0"/>
              </w:rPr>
            </w:pPr>
          </w:p>
        </w:tc>
        <w:tc>
          <w:tcPr>
            <w:tcW w:w="1367" w:type="dxa"/>
            <w:vAlign w:val="center"/>
          </w:tcPr>
          <w:p w14:paraId="6CED2B00" w14:textId="77777777" w:rsidR="007F04E2" w:rsidRPr="00031745" w:rsidRDefault="007F04E2" w:rsidP="007F04E2">
            <w:pPr>
              <w:pStyle w:val="21TableBodyMiddle"/>
              <w:rPr>
                <w:snapToGrid w:val="0"/>
              </w:rPr>
            </w:pPr>
            <w:r w:rsidRPr="00031745">
              <w:rPr>
                <w:snapToGrid w:val="0"/>
              </w:rPr>
              <w:t>Gustin et al, 2020</w:t>
            </w:r>
          </w:p>
        </w:tc>
        <w:tc>
          <w:tcPr>
            <w:tcW w:w="2552" w:type="dxa"/>
            <w:vAlign w:val="center"/>
          </w:tcPr>
          <w:p w14:paraId="619791F0" w14:textId="77777777" w:rsidR="007F04E2" w:rsidRPr="00031745" w:rsidRDefault="007F04E2" w:rsidP="007F04E2">
            <w:pPr>
              <w:pStyle w:val="21TableBodyMiddle"/>
              <w:rPr>
                <w:snapToGrid w:val="0"/>
              </w:rPr>
            </w:pPr>
            <w:r w:rsidRPr="00031745">
              <w:rPr>
                <w:snapToGrid w:val="0"/>
              </w:rPr>
              <w:t>Infants with diaper dermatitis</w:t>
            </w:r>
          </w:p>
          <w:p w14:paraId="0EC6969B" w14:textId="77777777" w:rsidR="007F04E2" w:rsidRPr="00031745" w:rsidRDefault="007F04E2" w:rsidP="007F04E2">
            <w:pPr>
              <w:pStyle w:val="21TableBodyMiddle"/>
              <w:rPr>
                <w:i/>
                <w:snapToGrid w:val="0"/>
              </w:rPr>
            </w:pPr>
            <w:r w:rsidRPr="00031745">
              <w:rPr>
                <w:i/>
                <w:snapToGrid w:val="0"/>
              </w:rPr>
              <w:t>n = 61</w:t>
            </w:r>
          </w:p>
        </w:tc>
        <w:tc>
          <w:tcPr>
            <w:tcW w:w="3827" w:type="dxa"/>
            <w:vAlign w:val="center"/>
          </w:tcPr>
          <w:p w14:paraId="738C79CB" w14:textId="77777777" w:rsidR="007F04E2" w:rsidRPr="00031745" w:rsidRDefault="007F04E2" w:rsidP="007F04E2">
            <w:pPr>
              <w:pStyle w:val="21TableBodyMiddle"/>
              <w:rPr>
                <w:i/>
                <w:snapToGrid w:val="0"/>
              </w:rPr>
            </w:pPr>
            <w:r w:rsidRPr="00031745">
              <w:rPr>
                <w:i/>
                <w:snapToGrid w:val="0"/>
              </w:rPr>
              <w:t>Randomized Cross Over study</w:t>
            </w:r>
          </w:p>
          <w:p w14:paraId="6F295781"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Group A: Emollient containing diaper with an acidic pH buffer wipe.</w:t>
            </w:r>
          </w:p>
          <w:p w14:paraId="200EEC52" w14:textId="77777777" w:rsidR="007F04E2" w:rsidRPr="00031745" w:rsidRDefault="007F04E2" w:rsidP="007F04E2">
            <w:pPr>
              <w:pStyle w:val="21TableBodyMiddle"/>
              <w:rPr>
                <w:snapToGrid w:val="0"/>
              </w:rPr>
            </w:pPr>
            <w:r w:rsidRPr="00031745">
              <w:rPr>
                <w:snapToGrid w:val="0"/>
              </w:rPr>
              <w:t>Group B: Non-emollient diaper and wipe with a limited buffering capacity.</w:t>
            </w:r>
          </w:p>
        </w:tc>
        <w:tc>
          <w:tcPr>
            <w:tcW w:w="5877" w:type="dxa"/>
            <w:vAlign w:val="center"/>
          </w:tcPr>
          <w:p w14:paraId="778CD463" w14:textId="77777777" w:rsidR="007F04E2" w:rsidRPr="00031745" w:rsidRDefault="007F04E2" w:rsidP="007F04E2">
            <w:pPr>
              <w:pStyle w:val="21TableBodyMiddle"/>
              <w:rPr>
                <w:snapToGrid w:val="0"/>
              </w:rPr>
            </w:pPr>
            <w:r w:rsidRPr="00031745">
              <w:rPr>
                <w:snapToGrid w:val="0"/>
              </w:rPr>
              <w:t xml:space="preserve">A </w:t>
            </w:r>
            <w:proofErr w:type="gramStart"/>
            <w:r w:rsidRPr="00031745">
              <w:rPr>
                <w:snapToGrid w:val="0"/>
              </w:rPr>
              <w:t>3 day</w:t>
            </w:r>
            <w:proofErr w:type="gramEnd"/>
            <w:r w:rsidRPr="00031745">
              <w:rPr>
                <w:snapToGrid w:val="0"/>
              </w:rPr>
              <w:t xml:space="preserve"> testing period for each group was followed by a </w:t>
            </w:r>
            <w:proofErr w:type="gramStart"/>
            <w:r w:rsidRPr="00031745">
              <w:rPr>
                <w:snapToGrid w:val="0"/>
              </w:rPr>
              <w:t>3 day</w:t>
            </w:r>
            <w:proofErr w:type="gramEnd"/>
            <w:r w:rsidRPr="00031745">
              <w:rPr>
                <w:snapToGrid w:val="0"/>
              </w:rPr>
              <w:t xml:space="preserve"> washout period while results were obtained. Group A had a diaper skin pH decrease more during the study than Group </w:t>
            </w:r>
            <w:proofErr w:type="gramStart"/>
            <w:r w:rsidRPr="00031745">
              <w:rPr>
                <w:snapToGrid w:val="0"/>
              </w:rPr>
              <w:t>B’s</w:t>
            </w:r>
            <w:proofErr w:type="gramEnd"/>
            <w:r w:rsidRPr="00031745">
              <w:rPr>
                <w:snapToGrid w:val="0"/>
              </w:rPr>
              <w:t xml:space="preserve"> did. Group A also had lower residual enzyme activity. Results suggested that an emollient containing diaper with an acidic pH buffer wipe enables better skin health in diapers.</w:t>
            </w:r>
          </w:p>
        </w:tc>
      </w:tr>
      <w:tr w:rsidR="007F04E2" w:rsidRPr="00031745" w14:paraId="58A50F21" w14:textId="77777777" w:rsidTr="00BE760D">
        <w:trPr>
          <w:trHeight w:val="20"/>
          <w:jc w:val="center"/>
        </w:trPr>
        <w:tc>
          <w:tcPr>
            <w:tcW w:w="1423" w:type="dxa"/>
            <w:vMerge/>
            <w:vAlign w:val="center"/>
          </w:tcPr>
          <w:p w14:paraId="1566F3B0" w14:textId="77777777" w:rsidR="007F04E2" w:rsidRPr="00031745" w:rsidRDefault="007F04E2" w:rsidP="007F04E2">
            <w:pPr>
              <w:pStyle w:val="21TableBodyMiddle"/>
              <w:rPr>
                <w:snapToGrid w:val="0"/>
              </w:rPr>
            </w:pPr>
          </w:p>
        </w:tc>
        <w:tc>
          <w:tcPr>
            <w:tcW w:w="1367" w:type="dxa"/>
            <w:vAlign w:val="center"/>
          </w:tcPr>
          <w:p w14:paraId="299F6368" w14:textId="77777777" w:rsidR="007F04E2" w:rsidRPr="00031745" w:rsidRDefault="007F04E2" w:rsidP="007F04E2">
            <w:pPr>
              <w:pStyle w:val="21TableBodyMiddle"/>
              <w:rPr>
                <w:snapToGrid w:val="0"/>
              </w:rPr>
            </w:pPr>
            <w:r w:rsidRPr="00031745">
              <w:rPr>
                <w:snapToGrid w:val="0"/>
              </w:rPr>
              <w:t>Mahmoudi et al, 2015</w:t>
            </w:r>
          </w:p>
        </w:tc>
        <w:tc>
          <w:tcPr>
            <w:tcW w:w="2552" w:type="dxa"/>
            <w:vAlign w:val="center"/>
          </w:tcPr>
          <w:p w14:paraId="62B556A9" w14:textId="77777777" w:rsidR="007F04E2" w:rsidRPr="00031745" w:rsidRDefault="007F04E2" w:rsidP="007F04E2">
            <w:pPr>
              <w:pStyle w:val="21TableBodyMiddle"/>
              <w:rPr>
                <w:snapToGrid w:val="0"/>
              </w:rPr>
            </w:pPr>
            <w:r w:rsidRPr="00031745">
              <w:rPr>
                <w:snapToGrid w:val="0"/>
              </w:rPr>
              <w:t>Infants with diaper dermatitis</w:t>
            </w:r>
          </w:p>
          <w:p w14:paraId="61CA6EFA" w14:textId="77777777" w:rsidR="007F04E2" w:rsidRPr="00031745" w:rsidRDefault="007F04E2" w:rsidP="007F04E2">
            <w:pPr>
              <w:pStyle w:val="21TableBodyMiddle"/>
              <w:rPr>
                <w:i/>
                <w:snapToGrid w:val="0"/>
              </w:rPr>
            </w:pPr>
            <w:r w:rsidRPr="00031745">
              <w:rPr>
                <w:i/>
                <w:snapToGrid w:val="0"/>
              </w:rPr>
              <w:t>n = 100</w:t>
            </w:r>
          </w:p>
        </w:tc>
        <w:tc>
          <w:tcPr>
            <w:tcW w:w="3827" w:type="dxa"/>
            <w:vAlign w:val="center"/>
          </w:tcPr>
          <w:p w14:paraId="2E106801" w14:textId="77777777" w:rsidR="007F04E2" w:rsidRPr="00031745" w:rsidRDefault="007F04E2" w:rsidP="007F04E2">
            <w:pPr>
              <w:pStyle w:val="21TableBodyMiddle"/>
              <w:rPr>
                <w:i/>
                <w:snapToGrid w:val="0"/>
              </w:rPr>
            </w:pPr>
            <w:r w:rsidRPr="00031745">
              <w:rPr>
                <w:i/>
                <w:snapToGrid w:val="0"/>
              </w:rPr>
              <w:t>Randomized Control Trial</w:t>
            </w:r>
          </w:p>
          <w:p w14:paraId="4672B984" w14:textId="77777777" w:rsidR="007F04E2" w:rsidRPr="00031745" w:rsidRDefault="007F04E2" w:rsidP="007F04E2">
            <w:pPr>
              <w:pStyle w:val="21TableBodyMiddle"/>
              <w:rPr>
                <w:snapToGrid w:val="0"/>
              </w:rPr>
            </w:pPr>
            <w:r w:rsidRPr="00031745">
              <w:rPr>
                <w:i/>
                <w:snapToGrid w:val="0"/>
              </w:rPr>
              <w:t>Intervention:</w:t>
            </w:r>
            <w:r w:rsidRPr="00031745">
              <w:rPr>
                <w:snapToGrid w:val="0"/>
              </w:rPr>
              <w:t xml:space="preserve"> Topical application of Bentonite and Calendula</w:t>
            </w:r>
          </w:p>
        </w:tc>
        <w:tc>
          <w:tcPr>
            <w:tcW w:w="5877" w:type="dxa"/>
            <w:vAlign w:val="center"/>
          </w:tcPr>
          <w:p w14:paraId="3A43DDE9" w14:textId="77777777" w:rsidR="007F04E2" w:rsidRPr="00031745" w:rsidRDefault="007F04E2" w:rsidP="007F04E2">
            <w:pPr>
              <w:pStyle w:val="21TableBodyMiddle"/>
              <w:rPr>
                <w:snapToGrid w:val="0"/>
              </w:rPr>
            </w:pPr>
            <w:r w:rsidRPr="00031745">
              <w:rPr>
                <w:snapToGrid w:val="0"/>
              </w:rPr>
              <w:t>The 50 infants in the Bentonite group had a greater percentage of lesions improve within the first 6 hours and a higher rate of lesions completely healed after the first 3 days of treatment than the 50 infants in the Calendula group. Bentonite was found to be more effective in treating infants with diaper dermatitis.</w:t>
            </w:r>
          </w:p>
        </w:tc>
      </w:tr>
      <w:tr w:rsidR="007F04E2" w:rsidRPr="00031745" w14:paraId="5C6194FA" w14:textId="77777777" w:rsidTr="00BE760D">
        <w:trPr>
          <w:trHeight w:val="20"/>
          <w:jc w:val="center"/>
        </w:trPr>
        <w:tc>
          <w:tcPr>
            <w:tcW w:w="1423" w:type="dxa"/>
            <w:vMerge/>
            <w:vAlign w:val="center"/>
          </w:tcPr>
          <w:p w14:paraId="4F425CDF" w14:textId="77777777" w:rsidR="007F04E2" w:rsidRPr="00031745" w:rsidRDefault="007F04E2" w:rsidP="007F04E2">
            <w:pPr>
              <w:pStyle w:val="21TableBodyMiddle"/>
              <w:rPr>
                <w:snapToGrid w:val="0"/>
              </w:rPr>
            </w:pPr>
          </w:p>
        </w:tc>
        <w:tc>
          <w:tcPr>
            <w:tcW w:w="1367" w:type="dxa"/>
            <w:vAlign w:val="center"/>
          </w:tcPr>
          <w:p w14:paraId="3FF1C8D4" w14:textId="77777777" w:rsidR="007F04E2" w:rsidRPr="00031745" w:rsidRDefault="007F04E2" w:rsidP="007F04E2">
            <w:pPr>
              <w:pStyle w:val="21TableBodyMiddle"/>
              <w:rPr>
                <w:snapToGrid w:val="0"/>
              </w:rPr>
            </w:pPr>
            <w:r w:rsidRPr="00031745">
              <w:rPr>
                <w:snapToGrid w:val="0"/>
              </w:rPr>
              <w:t>Nourbakhsh et al 2016</w:t>
            </w:r>
          </w:p>
        </w:tc>
        <w:tc>
          <w:tcPr>
            <w:tcW w:w="2552" w:type="dxa"/>
            <w:vAlign w:val="center"/>
          </w:tcPr>
          <w:p w14:paraId="39B2437C" w14:textId="77777777" w:rsidR="007F04E2" w:rsidRPr="00031745" w:rsidRDefault="007F04E2" w:rsidP="007F04E2">
            <w:pPr>
              <w:pStyle w:val="21TableBodyMiddle"/>
              <w:rPr>
                <w:snapToGrid w:val="0"/>
              </w:rPr>
            </w:pPr>
            <w:r w:rsidRPr="00031745">
              <w:rPr>
                <w:snapToGrid w:val="0"/>
              </w:rPr>
              <w:t>Children less than 2 years old with diaper dermatitis and diaper rash</w:t>
            </w:r>
          </w:p>
          <w:p w14:paraId="06D3B70E" w14:textId="77777777" w:rsidR="007F04E2" w:rsidRPr="00031745" w:rsidRDefault="007F04E2" w:rsidP="007F04E2">
            <w:pPr>
              <w:pStyle w:val="21TableBodyMiddle"/>
              <w:rPr>
                <w:i/>
                <w:snapToGrid w:val="0"/>
              </w:rPr>
            </w:pPr>
            <w:r w:rsidRPr="00031745">
              <w:rPr>
                <w:i/>
                <w:snapToGrid w:val="0"/>
              </w:rPr>
              <w:t>n = 64</w:t>
            </w:r>
          </w:p>
        </w:tc>
        <w:tc>
          <w:tcPr>
            <w:tcW w:w="3827" w:type="dxa"/>
            <w:vAlign w:val="center"/>
          </w:tcPr>
          <w:p w14:paraId="032240BF" w14:textId="77777777" w:rsidR="007F04E2" w:rsidRPr="00031745" w:rsidRDefault="007F04E2" w:rsidP="007F04E2">
            <w:pPr>
              <w:pStyle w:val="21TableBodyMiddle"/>
              <w:rPr>
                <w:i/>
                <w:snapToGrid w:val="0"/>
              </w:rPr>
            </w:pPr>
            <w:r w:rsidRPr="00031745">
              <w:rPr>
                <w:i/>
                <w:snapToGrid w:val="0"/>
              </w:rPr>
              <w:t>Clinical Trial study</w:t>
            </w:r>
          </w:p>
          <w:p w14:paraId="541A9CC1" w14:textId="77777777" w:rsidR="007F04E2" w:rsidRPr="00031745" w:rsidRDefault="007F04E2" w:rsidP="007F04E2">
            <w:pPr>
              <w:pStyle w:val="21TableBodyMiddle"/>
              <w:rPr>
                <w:snapToGrid w:val="0"/>
              </w:rPr>
            </w:pPr>
            <w:r w:rsidRPr="00031745">
              <w:rPr>
                <w:i/>
                <w:snapToGrid w:val="0"/>
              </w:rPr>
              <w:t>Intervention:</w:t>
            </w:r>
            <w:r w:rsidRPr="00031745">
              <w:rPr>
                <w:snapToGrid w:val="0"/>
              </w:rPr>
              <w:t xml:space="preserve"> Cream containing 2% Mg and Calendula.</w:t>
            </w:r>
          </w:p>
          <w:p w14:paraId="1BFC68E4" w14:textId="77777777" w:rsidR="007F04E2" w:rsidRPr="00031745" w:rsidRDefault="007F04E2" w:rsidP="007F04E2">
            <w:pPr>
              <w:pStyle w:val="21TableBodyMiddle"/>
              <w:rPr>
                <w:snapToGrid w:val="0"/>
              </w:rPr>
            </w:pPr>
            <w:r w:rsidRPr="00031745">
              <w:rPr>
                <w:snapToGrid w:val="0"/>
              </w:rPr>
              <w:t>Control: Calendula cream alone.</w:t>
            </w:r>
          </w:p>
        </w:tc>
        <w:tc>
          <w:tcPr>
            <w:tcW w:w="5877" w:type="dxa"/>
            <w:vAlign w:val="center"/>
          </w:tcPr>
          <w:p w14:paraId="3D50B5F7" w14:textId="77777777" w:rsidR="007F04E2" w:rsidRPr="00031745" w:rsidRDefault="007F04E2" w:rsidP="007F04E2">
            <w:pPr>
              <w:pStyle w:val="21TableBodyMiddle"/>
              <w:rPr>
                <w:snapToGrid w:val="0"/>
              </w:rPr>
            </w:pPr>
            <w:r w:rsidRPr="00031745">
              <w:rPr>
                <w:snapToGrid w:val="0"/>
              </w:rPr>
              <w:t>The 32 subjects who received cream containing 2% Mg and Calendula had faster results and recovery from their diaper dermatitis/rash. There was not a significant difference in the number or sizes of lesions present between the intervention or control group. 2% Mg cream is effective for treating diaper dermatitis.</w:t>
            </w:r>
          </w:p>
        </w:tc>
      </w:tr>
      <w:tr w:rsidR="007F04E2" w:rsidRPr="00031745" w14:paraId="11CF351E" w14:textId="77777777" w:rsidTr="00BE760D">
        <w:trPr>
          <w:trHeight w:val="20"/>
          <w:jc w:val="center"/>
        </w:trPr>
        <w:tc>
          <w:tcPr>
            <w:tcW w:w="1423" w:type="dxa"/>
            <w:vMerge/>
            <w:vAlign w:val="center"/>
          </w:tcPr>
          <w:p w14:paraId="269D2944" w14:textId="77777777" w:rsidR="007F04E2" w:rsidRPr="00031745" w:rsidRDefault="007F04E2" w:rsidP="007F04E2">
            <w:pPr>
              <w:pStyle w:val="21TableBodyMiddle"/>
              <w:rPr>
                <w:snapToGrid w:val="0"/>
              </w:rPr>
            </w:pPr>
          </w:p>
        </w:tc>
        <w:tc>
          <w:tcPr>
            <w:tcW w:w="1367" w:type="dxa"/>
            <w:vAlign w:val="center"/>
          </w:tcPr>
          <w:p w14:paraId="7644E580" w14:textId="77777777" w:rsidR="007F04E2" w:rsidRPr="00031745" w:rsidRDefault="007F04E2" w:rsidP="007F04E2">
            <w:pPr>
              <w:pStyle w:val="21TableBodyMiddle"/>
              <w:rPr>
                <w:snapToGrid w:val="0"/>
              </w:rPr>
            </w:pPr>
            <w:r w:rsidRPr="00031745">
              <w:rPr>
                <w:snapToGrid w:val="0"/>
              </w:rPr>
              <w:t>Price et al. 2021</w:t>
            </w:r>
          </w:p>
        </w:tc>
        <w:tc>
          <w:tcPr>
            <w:tcW w:w="2552" w:type="dxa"/>
            <w:vAlign w:val="center"/>
          </w:tcPr>
          <w:p w14:paraId="4C254A7F" w14:textId="77777777" w:rsidR="007F04E2" w:rsidRPr="00031745" w:rsidRDefault="007F04E2" w:rsidP="007F04E2">
            <w:pPr>
              <w:pStyle w:val="21TableBodyMiddle"/>
              <w:rPr>
                <w:snapToGrid w:val="0"/>
              </w:rPr>
            </w:pPr>
            <w:r w:rsidRPr="00031745">
              <w:rPr>
                <w:snapToGrid w:val="0"/>
              </w:rPr>
              <w:t>Incidence of diaper dermatitis in infants from birth to 8 weeks of age</w:t>
            </w:r>
          </w:p>
          <w:p w14:paraId="4DA7D2A9" w14:textId="77777777" w:rsidR="007F04E2" w:rsidRPr="00031745" w:rsidRDefault="007F04E2" w:rsidP="007F04E2">
            <w:pPr>
              <w:pStyle w:val="21TableBodyMiddle"/>
              <w:rPr>
                <w:i/>
                <w:snapToGrid w:val="0"/>
              </w:rPr>
            </w:pPr>
            <w:r w:rsidRPr="00031745">
              <w:rPr>
                <w:i/>
                <w:snapToGrid w:val="0"/>
              </w:rPr>
              <w:lastRenderedPageBreak/>
              <w:t>n = 698</w:t>
            </w:r>
          </w:p>
        </w:tc>
        <w:tc>
          <w:tcPr>
            <w:tcW w:w="3827" w:type="dxa"/>
            <w:vAlign w:val="center"/>
          </w:tcPr>
          <w:p w14:paraId="3A498625" w14:textId="77777777" w:rsidR="007F04E2" w:rsidRPr="00031745" w:rsidRDefault="007F04E2" w:rsidP="007F04E2">
            <w:pPr>
              <w:pStyle w:val="21TableBodyMiddle"/>
              <w:rPr>
                <w:i/>
                <w:snapToGrid w:val="0"/>
              </w:rPr>
            </w:pPr>
            <w:r w:rsidRPr="00031745">
              <w:rPr>
                <w:i/>
                <w:snapToGrid w:val="0"/>
              </w:rPr>
              <w:lastRenderedPageBreak/>
              <w:t>Prospective study</w:t>
            </w:r>
          </w:p>
          <w:p w14:paraId="31AC10BC" w14:textId="77777777" w:rsidR="007F04E2" w:rsidRPr="00031745" w:rsidRDefault="007F04E2" w:rsidP="007F04E2">
            <w:pPr>
              <w:pStyle w:val="21TableBodyMiddle"/>
              <w:rPr>
                <w:rFonts w:eastAsiaTheme="minorEastAsia"/>
                <w:snapToGrid w:val="0"/>
                <w:lang w:eastAsia="zh-CN"/>
              </w:rPr>
            </w:pPr>
            <w:r w:rsidRPr="00031745">
              <w:rPr>
                <w:i/>
                <w:snapToGrid w:val="0"/>
              </w:rPr>
              <w:t xml:space="preserve">Interventions: </w:t>
            </w:r>
            <w:r w:rsidRPr="00031745">
              <w:rPr>
                <w:snapToGrid w:val="0"/>
              </w:rPr>
              <w:t xml:space="preserve">3 different brands of wipes </w:t>
            </w:r>
          </w:p>
          <w:p w14:paraId="310AC73A" w14:textId="77777777" w:rsidR="007F04E2" w:rsidRPr="00031745" w:rsidRDefault="007F04E2" w:rsidP="007F04E2">
            <w:pPr>
              <w:pStyle w:val="21TableBodyMiddle"/>
              <w:rPr>
                <w:snapToGrid w:val="0"/>
              </w:rPr>
            </w:pPr>
            <w:r w:rsidRPr="00031745">
              <w:rPr>
                <w:snapToGrid w:val="0"/>
              </w:rPr>
              <w:lastRenderedPageBreak/>
              <w:t>(all infants received the same nappies)</w:t>
            </w:r>
          </w:p>
        </w:tc>
        <w:tc>
          <w:tcPr>
            <w:tcW w:w="5877" w:type="dxa"/>
            <w:vAlign w:val="center"/>
          </w:tcPr>
          <w:p w14:paraId="0589C820" w14:textId="77777777" w:rsidR="007F04E2" w:rsidRPr="00031745" w:rsidRDefault="00000000" w:rsidP="007F04E2">
            <w:pPr>
              <w:pStyle w:val="21TableBodyMiddle"/>
              <w:rPr>
                <w:snapToGrid w:val="0"/>
              </w:rPr>
            </w:pPr>
            <w:sdt>
              <w:sdtPr>
                <w:rPr>
                  <w:snapToGrid w:val="0"/>
                </w:rPr>
                <w:tag w:val="goog_rdk_3"/>
                <w:id w:val="1216312542"/>
              </w:sdtPr>
              <w:sdtContent>
                <w:r w:rsidR="007F04E2" w:rsidRPr="00031745">
                  <w:rPr>
                    <w:rFonts w:eastAsia="Gungsuh"/>
                    <w:snapToGrid w:val="0"/>
                  </w:rPr>
                  <w:t xml:space="preserve">Mothers were recruited during the prenatal period and were given one of three brands of wipes in order to determine the prevalence and which brand was the most effective at treating diaper dermatitis. </w:t>
                </w:r>
                <w:r w:rsidR="007F04E2" w:rsidRPr="00031745">
                  <w:rPr>
                    <w:rFonts w:eastAsia="Gungsuh"/>
                    <w:snapToGrid w:val="0"/>
                  </w:rPr>
                  <w:lastRenderedPageBreak/>
                  <w:t xml:space="preserve">The infants who received the brand that contained the fewest ingredients had the fewest days of a clinically significant nappy rash (≥ 3 days) than the other two brands. Further studies and research </w:t>
                </w:r>
                <w:proofErr w:type="gramStart"/>
                <w:r w:rsidR="007F04E2" w:rsidRPr="00031745">
                  <w:rPr>
                    <w:rFonts w:eastAsia="Gungsuh"/>
                    <w:snapToGrid w:val="0"/>
                  </w:rPr>
                  <w:t>is</w:t>
                </w:r>
                <w:proofErr w:type="gramEnd"/>
                <w:r w:rsidR="007F04E2" w:rsidRPr="00031745">
                  <w:rPr>
                    <w:rFonts w:eastAsia="Gungsuh"/>
                    <w:snapToGrid w:val="0"/>
                  </w:rPr>
                  <w:t xml:space="preserve"> needed to evaluate the incidence of diaper dermatitis amongst different diaper brands. </w:t>
                </w:r>
              </w:sdtContent>
            </w:sdt>
          </w:p>
        </w:tc>
      </w:tr>
      <w:tr w:rsidR="007F04E2" w:rsidRPr="00031745" w14:paraId="250E7C2E" w14:textId="77777777" w:rsidTr="00BE760D">
        <w:trPr>
          <w:trHeight w:val="20"/>
          <w:jc w:val="center"/>
        </w:trPr>
        <w:tc>
          <w:tcPr>
            <w:tcW w:w="1423" w:type="dxa"/>
            <w:vMerge/>
            <w:vAlign w:val="center"/>
          </w:tcPr>
          <w:p w14:paraId="553569EF" w14:textId="77777777" w:rsidR="007F04E2" w:rsidRPr="00031745" w:rsidRDefault="007F04E2" w:rsidP="007F04E2">
            <w:pPr>
              <w:pStyle w:val="21TableBodyMiddle"/>
              <w:rPr>
                <w:snapToGrid w:val="0"/>
              </w:rPr>
            </w:pPr>
          </w:p>
        </w:tc>
        <w:tc>
          <w:tcPr>
            <w:tcW w:w="1367" w:type="dxa"/>
            <w:vAlign w:val="center"/>
          </w:tcPr>
          <w:p w14:paraId="7D2DCBD7" w14:textId="77777777" w:rsidR="007F04E2" w:rsidRPr="00031745" w:rsidRDefault="007F04E2" w:rsidP="007F04E2">
            <w:pPr>
              <w:pStyle w:val="21TableBodyMiddle"/>
              <w:rPr>
                <w:snapToGrid w:val="0"/>
              </w:rPr>
            </w:pPr>
            <w:r w:rsidRPr="00031745">
              <w:rPr>
                <w:snapToGrid w:val="0"/>
              </w:rPr>
              <w:t>Razor et al. 2015</w:t>
            </w:r>
          </w:p>
        </w:tc>
        <w:tc>
          <w:tcPr>
            <w:tcW w:w="2552" w:type="dxa"/>
            <w:vAlign w:val="center"/>
          </w:tcPr>
          <w:p w14:paraId="60F1E506" w14:textId="77777777" w:rsidR="007F04E2" w:rsidRPr="00031745" w:rsidRDefault="007F04E2" w:rsidP="007F04E2">
            <w:pPr>
              <w:pStyle w:val="21TableBodyMiddle"/>
              <w:rPr>
                <w:snapToGrid w:val="0"/>
              </w:rPr>
            </w:pPr>
            <w:r w:rsidRPr="00031745">
              <w:rPr>
                <w:snapToGrid w:val="0"/>
              </w:rPr>
              <w:t>Children less than 12 years old and adults who experience urinary and/or fecal incontinence along with incontinence-associated dermatitis (IAD).</w:t>
            </w:r>
          </w:p>
          <w:p w14:paraId="3AEC0301" w14:textId="77777777" w:rsidR="007F04E2" w:rsidRPr="00031745" w:rsidRDefault="007F04E2" w:rsidP="007F04E2">
            <w:pPr>
              <w:pStyle w:val="21TableBodyMiddle"/>
              <w:rPr>
                <w:i/>
                <w:snapToGrid w:val="0"/>
              </w:rPr>
            </w:pPr>
            <w:r w:rsidRPr="00031745">
              <w:rPr>
                <w:i/>
                <w:snapToGrid w:val="0"/>
              </w:rPr>
              <w:t>Number of subjects not given</w:t>
            </w:r>
          </w:p>
        </w:tc>
        <w:tc>
          <w:tcPr>
            <w:tcW w:w="3827" w:type="dxa"/>
            <w:vAlign w:val="center"/>
          </w:tcPr>
          <w:p w14:paraId="0B3BFF74" w14:textId="77777777" w:rsidR="007F04E2" w:rsidRPr="00031745" w:rsidRDefault="007F04E2" w:rsidP="007F04E2">
            <w:pPr>
              <w:pStyle w:val="21TableBodyMiddle"/>
              <w:rPr>
                <w:i/>
                <w:snapToGrid w:val="0"/>
              </w:rPr>
            </w:pPr>
            <w:r w:rsidRPr="00031745">
              <w:rPr>
                <w:i/>
                <w:snapToGrid w:val="0"/>
              </w:rPr>
              <w:t>Randomized Control Trial</w:t>
            </w:r>
          </w:p>
          <w:p w14:paraId="17C3C090"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2 zinc-oxide based skin ointments</w:t>
            </w:r>
          </w:p>
          <w:p w14:paraId="4BBF095D" w14:textId="77777777" w:rsidR="007F04E2" w:rsidRPr="00031745" w:rsidRDefault="007F04E2" w:rsidP="007F04E2">
            <w:pPr>
              <w:pStyle w:val="21TableBodyMiddle"/>
              <w:rPr>
                <w:snapToGrid w:val="0"/>
              </w:rPr>
            </w:pPr>
            <w:r w:rsidRPr="00031745">
              <w:rPr>
                <w:snapToGrid w:val="0"/>
              </w:rPr>
              <w:t>(Calmoseptine ointment OR Desitin Maximum Strength Diaper Rash Paste)</w:t>
            </w:r>
          </w:p>
        </w:tc>
        <w:tc>
          <w:tcPr>
            <w:tcW w:w="5877" w:type="dxa"/>
            <w:vAlign w:val="center"/>
          </w:tcPr>
          <w:p w14:paraId="7AD6FF56" w14:textId="77777777" w:rsidR="007F04E2" w:rsidRPr="00031745" w:rsidRDefault="007F04E2" w:rsidP="007F04E2">
            <w:pPr>
              <w:pStyle w:val="21TableBodyMiddle"/>
              <w:rPr>
                <w:rFonts w:eastAsiaTheme="minorEastAsia"/>
                <w:snapToGrid w:val="0"/>
                <w:lang w:eastAsia="zh-CN"/>
              </w:rPr>
            </w:pPr>
            <w:r w:rsidRPr="00031745">
              <w:rPr>
                <w:snapToGrid w:val="0"/>
              </w:rPr>
              <w:t>There were a higher number of subjects using the Calmoseptine ointment completely healed by day 6 than there was using the Diaper Rash Paste. Calmoseptine also resulted in effecting/improving a greater surface area of dermatitis as well. Calmoseptine is more effective than Desitin at healing the affected areas, as there were more severe IAD’s remaining in the Desitin group.</w:t>
            </w:r>
          </w:p>
        </w:tc>
      </w:tr>
      <w:tr w:rsidR="007F04E2" w:rsidRPr="00031745" w14:paraId="03F12B81" w14:textId="77777777" w:rsidTr="00BE760D">
        <w:trPr>
          <w:trHeight w:val="20"/>
          <w:jc w:val="center"/>
        </w:trPr>
        <w:tc>
          <w:tcPr>
            <w:tcW w:w="1423" w:type="dxa"/>
            <w:vMerge/>
            <w:vAlign w:val="center"/>
          </w:tcPr>
          <w:p w14:paraId="37BEC6F4" w14:textId="77777777" w:rsidR="007F04E2" w:rsidRPr="00031745" w:rsidRDefault="007F04E2" w:rsidP="007F04E2">
            <w:pPr>
              <w:pStyle w:val="21TableBodyMiddle"/>
              <w:rPr>
                <w:snapToGrid w:val="0"/>
              </w:rPr>
            </w:pPr>
          </w:p>
        </w:tc>
        <w:tc>
          <w:tcPr>
            <w:tcW w:w="1367" w:type="dxa"/>
            <w:vAlign w:val="center"/>
          </w:tcPr>
          <w:p w14:paraId="2CE35B1B" w14:textId="77777777" w:rsidR="007F04E2" w:rsidRPr="00031745" w:rsidRDefault="007F04E2" w:rsidP="007F04E2">
            <w:pPr>
              <w:pStyle w:val="21TableBodyMiddle"/>
              <w:rPr>
                <w:snapToGrid w:val="0"/>
              </w:rPr>
            </w:pPr>
            <w:r w:rsidRPr="00031745">
              <w:rPr>
                <w:snapToGrid w:val="0"/>
              </w:rPr>
              <w:t>Sharifi-Heris et al. 2018</w:t>
            </w:r>
          </w:p>
        </w:tc>
        <w:tc>
          <w:tcPr>
            <w:tcW w:w="2552" w:type="dxa"/>
            <w:vAlign w:val="center"/>
          </w:tcPr>
          <w:p w14:paraId="292AD3D5" w14:textId="77777777" w:rsidR="007F04E2" w:rsidRPr="00031745" w:rsidRDefault="007F04E2" w:rsidP="007F04E2">
            <w:pPr>
              <w:pStyle w:val="21TableBodyMiddle"/>
              <w:rPr>
                <w:snapToGrid w:val="0"/>
              </w:rPr>
            </w:pPr>
            <w:r w:rsidRPr="00031745">
              <w:rPr>
                <w:snapToGrid w:val="0"/>
              </w:rPr>
              <w:t>Children with diaper dermatitis/inflammation</w:t>
            </w:r>
          </w:p>
          <w:p w14:paraId="6B0D4E9E" w14:textId="77777777" w:rsidR="007F04E2" w:rsidRPr="00031745" w:rsidRDefault="007F04E2" w:rsidP="007F04E2">
            <w:pPr>
              <w:pStyle w:val="21TableBodyMiddle"/>
              <w:rPr>
                <w:snapToGrid w:val="0"/>
              </w:rPr>
            </w:pPr>
            <w:r w:rsidRPr="00031745">
              <w:rPr>
                <w:snapToGrid w:val="0"/>
              </w:rPr>
              <w:t>Number of subjects not given</w:t>
            </w:r>
          </w:p>
        </w:tc>
        <w:tc>
          <w:tcPr>
            <w:tcW w:w="3827" w:type="dxa"/>
            <w:vAlign w:val="center"/>
          </w:tcPr>
          <w:p w14:paraId="788E0519" w14:textId="77777777" w:rsidR="007F04E2" w:rsidRPr="00031745" w:rsidRDefault="007F04E2" w:rsidP="007F04E2">
            <w:pPr>
              <w:pStyle w:val="21TableBodyMiddle"/>
              <w:rPr>
                <w:i/>
                <w:snapToGrid w:val="0"/>
              </w:rPr>
            </w:pPr>
            <w:r w:rsidRPr="00031745">
              <w:rPr>
                <w:i/>
                <w:snapToGrid w:val="0"/>
              </w:rPr>
              <w:t>Systematic Review</w:t>
            </w:r>
          </w:p>
          <w:p w14:paraId="7B667A1A"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Topical treatments (chemical and herbal substances) and Systemic treatments</w:t>
            </w:r>
          </w:p>
        </w:tc>
        <w:tc>
          <w:tcPr>
            <w:tcW w:w="5877" w:type="dxa"/>
            <w:vAlign w:val="center"/>
          </w:tcPr>
          <w:p w14:paraId="2567388C" w14:textId="77777777" w:rsidR="007F04E2" w:rsidRPr="00031745" w:rsidRDefault="007F04E2" w:rsidP="007F04E2">
            <w:pPr>
              <w:pStyle w:val="21TableBodyMiddle"/>
              <w:rPr>
                <w:snapToGrid w:val="0"/>
              </w:rPr>
            </w:pPr>
            <w:r w:rsidRPr="00031745">
              <w:rPr>
                <w:snapToGrid w:val="0"/>
              </w:rPr>
              <w:t>Chemical treatments such as corticosteroids were found to be the riskiest (suppressing the immune system) and herbal medications were found to be the safest. Herbal medication is the most widely used treatment option to treat diaper dermatitis, but further research is needed on traditional treatment options.</w:t>
            </w:r>
          </w:p>
        </w:tc>
      </w:tr>
      <w:tr w:rsidR="007F04E2" w:rsidRPr="00031745" w14:paraId="4AE6125D" w14:textId="77777777" w:rsidTr="00BE760D">
        <w:trPr>
          <w:trHeight w:val="20"/>
          <w:jc w:val="center"/>
        </w:trPr>
        <w:tc>
          <w:tcPr>
            <w:tcW w:w="1423" w:type="dxa"/>
            <w:vMerge/>
            <w:vAlign w:val="center"/>
          </w:tcPr>
          <w:p w14:paraId="561EA2C4" w14:textId="77777777" w:rsidR="007F04E2" w:rsidRPr="00031745" w:rsidRDefault="007F04E2" w:rsidP="007F04E2">
            <w:pPr>
              <w:pStyle w:val="21TableBodyMiddle"/>
              <w:rPr>
                <w:snapToGrid w:val="0"/>
              </w:rPr>
            </w:pPr>
          </w:p>
        </w:tc>
        <w:tc>
          <w:tcPr>
            <w:tcW w:w="1367" w:type="dxa"/>
            <w:vAlign w:val="center"/>
          </w:tcPr>
          <w:p w14:paraId="70572E2A" w14:textId="77777777" w:rsidR="007F04E2" w:rsidRPr="00031745" w:rsidRDefault="007F04E2" w:rsidP="007F04E2">
            <w:pPr>
              <w:pStyle w:val="21TableBodyMiddle"/>
              <w:rPr>
                <w:snapToGrid w:val="0"/>
              </w:rPr>
            </w:pPr>
            <w:r w:rsidRPr="00031745">
              <w:rPr>
                <w:snapToGrid w:val="0"/>
              </w:rPr>
              <w:t>Yonezawa et al. 2018</w:t>
            </w:r>
          </w:p>
        </w:tc>
        <w:tc>
          <w:tcPr>
            <w:tcW w:w="2552" w:type="dxa"/>
            <w:vAlign w:val="center"/>
          </w:tcPr>
          <w:p w14:paraId="5B92EFDA" w14:textId="77777777" w:rsidR="007F04E2" w:rsidRPr="00031745" w:rsidRDefault="007F04E2" w:rsidP="007F04E2">
            <w:pPr>
              <w:pStyle w:val="21TableBodyMiddle"/>
              <w:rPr>
                <w:snapToGrid w:val="0"/>
              </w:rPr>
            </w:pPr>
            <w:r w:rsidRPr="00031745">
              <w:rPr>
                <w:snapToGrid w:val="0"/>
              </w:rPr>
              <w:t>Asian newborns between 1 week and 3 months old</w:t>
            </w:r>
          </w:p>
          <w:p w14:paraId="2F085BEF" w14:textId="77777777" w:rsidR="007F04E2" w:rsidRPr="00031745" w:rsidRDefault="007F04E2" w:rsidP="007F04E2">
            <w:pPr>
              <w:pStyle w:val="21TableBodyMiddle"/>
              <w:rPr>
                <w:i/>
                <w:snapToGrid w:val="0"/>
              </w:rPr>
            </w:pPr>
            <w:r w:rsidRPr="00031745">
              <w:rPr>
                <w:i/>
                <w:snapToGrid w:val="0"/>
              </w:rPr>
              <w:t>n = 227</w:t>
            </w:r>
          </w:p>
        </w:tc>
        <w:tc>
          <w:tcPr>
            <w:tcW w:w="3827" w:type="dxa"/>
            <w:vAlign w:val="center"/>
          </w:tcPr>
          <w:p w14:paraId="6EBB9C37" w14:textId="77777777" w:rsidR="007F04E2" w:rsidRPr="00031745" w:rsidRDefault="007F04E2" w:rsidP="007F04E2">
            <w:pPr>
              <w:pStyle w:val="21TableBodyMiddle"/>
              <w:rPr>
                <w:i/>
                <w:snapToGrid w:val="0"/>
              </w:rPr>
            </w:pPr>
            <w:r w:rsidRPr="00031745">
              <w:rPr>
                <w:i/>
                <w:snapToGrid w:val="0"/>
              </w:rPr>
              <w:t>Randomized Control Trial</w:t>
            </w:r>
          </w:p>
          <w:p w14:paraId="2E64D342"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moisturizing skin care (bathing every 2 days and lotion everyday)</w:t>
            </w:r>
          </w:p>
          <w:p w14:paraId="6D094664" w14:textId="77777777" w:rsidR="007F04E2" w:rsidRPr="00031745" w:rsidRDefault="007F04E2" w:rsidP="007F04E2">
            <w:pPr>
              <w:pStyle w:val="21TableBodyMiddle"/>
              <w:rPr>
                <w:snapToGrid w:val="0"/>
              </w:rPr>
            </w:pPr>
            <w:r w:rsidRPr="00031745">
              <w:rPr>
                <w:i/>
                <w:snapToGrid w:val="0"/>
              </w:rPr>
              <w:t>Control:</w:t>
            </w:r>
            <w:r w:rsidRPr="00031745">
              <w:rPr>
                <w:snapToGrid w:val="0"/>
              </w:rPr>
              <w:t xml:space="preserve"> daily bathing and no lotion</w:t>
            </w:r>
          </w:p>
        </w:tc>
        <w:tc>
          <w:tcPr>
            <w:tcW w:w="5877" w:type="dxa"/>
            <w:vAlign w:val="center"/>
          </w:tcPr>
          <w:p w14:paraId="17DE6C1B" w14:textId="77777777" w:rsidR="007F04E2" w:rsidRPr="00031745" w:rsidRDefault="007F04E2" w:rsidP="007F04E2">
            <w:pPr>
              <w:pStyle w:val="21TableBodyMiddle"/>
              <w:rPr>
                <w:snapToGrid w:val="0"/>
              </w:rPr>
            </w:pPr>
            <w:r w:rsidRPr="00031745">
              <w:rPr>
                <w:snapToGrid w:val="0"/>
              </w:rPr>
              <w:t>The 113 infants receiving the moisturizing skin care had a lower amount of transepidermal water loss compared to 114 infants in the control group. The intervention group also had fewer occurrences of diaper dermatitis during the 3-month testing period and fewer skin break down problems. The study found that moisturizing skin care is an effective treatment option for preventing diaper dermatitis and enhancing skin barrier function in newborns.</w:t>
            </w:r>
          </w:p>
        </w:tc>
      </w:tr>
      <w:tr w:rsidR="007F04E2" w:rsidRPr="00031745" w14:paraId="6044E1B6" w14:textId="77777777" w:rsidTr="00BE760D">
        <w:trPr>
          <w:trHeight w:val="20"/>
          <w:jc w:val="center"/>
        </w:trPr>
        <w:tc>
          <w:tcPr>
            <w:tcW w:w="1423" w:type="dxa"/>
            <w:vMerge/>
            <w:vAlign w:val="center"/>
          </w:tcPr>
          <w:p w14:paraId="775B495B" w14:textId="77777777" w:rsidR="007F04E2" w:rsidRPr="00031745" w:rsidRDefault="007F04E2" w:rsidP="007F04E2">
            <w:pPr>
              <w:pStyle w:val="21TableBodyMiddle"/>
              <w:rPr>
                <w:snapToGrid w:val="0"/>
              </w:rPr>
            </w:pPr>
          </w:p>
        </w:tc>
        <w:tc>
          <w:tcPr>
            <w:tcW w:w="1367" w:type="dxa"/>
            <w:vAlign w:val="center"/>
          </w:tcPr>
          <w:p w14:paraId="041A2485" w14:textId="77777777" w:rsidR="007F04E2" w:rsidRPr="00031745" w:rsidRDefault="007F04E2" w:rsidP="007F04E2">
            <w:pPr>
              <w:pStyle w:val="21TableBodyMiddle"/>
              <w:rPr>
                <w:snapToGrid w:val="0"/>
              </w:rPr>
            </w:pPr>
            <w:r w:rsidRPr="00031745">
              <w:rPr>
                <w:snapToGrid w:val="0"/>
              </w:rPr>
              <w:t>Yuan et al. 2018</w:t>
            </w:r>
          </w:p>
        </w:tc>
        <w:tc>
          <w:tcPr>
            <w:tcW w:w="2552" w:type="dxa"/>
            <w:vAlign w:val="center"/>
          </w:tcPr>
          <w:p w14:paraId="79F7AA8D" w14:textId="77777777" w:rsidR="007F04E2" w:rsidRPr="00031745" w:rsidRDefault="007F04E2" w:rsidP="007F04E2">
            <w:pPr>
              <w:pStyle w:val="21TableBodyMiddle"/>
              <w:rPr>
                <w:rFonts w:eastAsiaTheme="minorEastAsia"/>
                <w:snapToGrid w:val="0"/>
                <w:lang w:eastAsia="zh-CN"/>
              </w:rPr>
            </w:pPr>
            <w:r w:rsidRPr="00031745">
              <w:rPr>
                <w:snapToGrid w:val="0"/>
              </w:rPr>
              <w:t>Babies (Chinese) with diaper rash</w:t>
            </w:r>
          </w:p>
          <w:p w14:paraId="2D56D1D1" w14:textId="77777777" w:rsidR="007F04E2" w:rsidRPr="00031745" w:rsidRDefault="007F04E2" w:rsidP="007F04E2">
            <w:pPr>
              <w:pStyle w:val="21TableBodyMiddle"/>
              <w:rPr>
                <w:i/>
                <w:snapToGrid w:val="0"/>
              </w:rPr>
            </w:pPr>
            <w:r w:rsidRPr="00031745">
              <w:rPr>
                <w:i/>
                <w:snapToGrid w:val="0"/>
              </w:rPr>
              <w:t>n = 80</w:t>
            </w:r>
          </w:p>
        </w:tc>
        <w:tc>
          <w:tcPr>
            <w:tcW w:w="3827" w:type="dxa"/>
            <w:vAlign w:val="center"/>
          </w:tcPr>
          <w:p w14:paraId="76BC1CA8" w14:textId="77777777" w:rsidR="007F04E2" w:rsidRPr="00031745" w:rsidRDefault="007F04E2" w:rsidP="007F04E2">
            <w:pPr>
              <w:pStyle w:val="21TableBodyMiddle"/>
              <w:rPr>
                <w:i/>
                <w:snapToGrid w:val="0"/>
              </w:rPr>
            </w:pPr>
            <w:r w:rsidRPr="00031745">
              <w:rPr>
                <w:i/>
                <w:snapToGrid w:val="0"/>
              </w:rPr>
              <w:t>Randomized Control Trial, Cross Over study</w:t>
            </w:r>
          </w:p>
          <w:p w14:paraId="29A46227"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New material diapers and standard diapers</w:t>
            </w:r>
          </w:p>
        </w:tc>
        <w:tc>
          <w:tcPr>
            <w:tcW w:w="5877" w:type="dxa"/>
            <w:vAlign w:val="center"/>
          </w:tcPr>
          <w:p w14:paraId="2256353B" w14:textId="77777777" w:rsidR="007F04E2" w:rsidRPr="00031745" w:rsidRDefault="007F04E2" w:rsidP="007F04E2">
            <w:pPr>
              <w:pStyle w:val="21TableBodyMiddle"/>
              <w:rPr>
                <w:snapToGrid w:val="0"/>
              </w:rPr>
            </w:pPr>
            <w:r w:rsidRPr="00031745">
              <w:rPr>
                <w:snapToGrid w:val="0"/>
              </w:rPr>
              <w:t>Skin conditions were assessed around the front and back of the waist, pubic region, anal region, right buttock, left buttock, right groin, and the left groin. The new material diaper was found to be the far more optimal diaper in preventing diaper rash in babies in China, primarily in the front of the waist, the pubic region, and the anal region.</w:t>
            </w:r>
          </w:p>
        </w:tc>
      </w:tr>
      <w:tr w:rsidR="007F04E2" w:rsidRPr="00031745" w14:paraId="51F5D134" w14:textId="77777777" w:rsidTr="00BE760D">
        <w:trPr>
          <w:trHeight w:val="20"/>
          <w:jc w:val="center"/>
        </w:trPr>
        <w:tc>
          <w:tcPr>
            <w:tcW w:w="1423" w:type="dxa"/>
            <w:vMerge w:val="restart"/>
            <w:vAlign w:val="center"/>
          </w:tcPr>
          <w:p w14:paraId="4D93F5AF" w14:textId="77777777" w:rsidR="007F04E2" w:rsidRPr="00031745" w:rsidRDefault="007F04E2" w:rsidP="007F04E2">
            <w:pPr>
              <w:pStyle w:val="21TableBodyMiddle"/>
              <w:rPr>
                <w:snapToGrid w:val="0"/>
              </w:rPr>
            </w:pPr>
            <w:r w:rsidRPr="00031745">
              <w:rPr>
                <w:snapToGrid w:val="0"/>
              </w:rPr>
              <w:t>Extravasation</w:t>
            </w:r>
          </w:p>
        </w:tc>
        <w:tc>
          <w:tcPr>
            <w:tcW w:w="1367" w:type="dxa"/>
            <w:vAlign w:val="center"/>
          </w:tcPr>
          <w:p w14:paraId="40450A00" w14:textId="77777777" w:rsidR="007F04E2" w:rsidRPr="00031745" w:rsidRDefault="007F04E2" w:rsidP="007F04E2">
            <w:pPr>
              <w:pStyle w:val="21TableBodyMiddle"/>
              <w:rPr>
                <w:snapToGrid w:val="0"/>
              </w:rPr>
            </w:pPr>
            <w:r w:rsidRPr="00031745">
              <w:rPr>
                <w:snapToGrid w:val="0"/>
              </w:rPr>
              <w:t>Alexander. 2020</w:t>
            </w:r>
          </w:p>
        </w:tc>
        <w:tc>
          <w:tcPr>
            <w:tcW w:w="2552" w:type="dxa"/>
            <w:vAlign w:val="center"/>
          </w:tcPr>
          <w:p w14:paraId="339D6A28" w14:textId="77777777" w:rsidR="007F04E2" w:rsidRPr="00031745" w:rsidRDefault="007F04E2" w:rsidP="007F04E2">
            <w:pPr>
              <w:pStyle w:val="21TableBodyMiddle"/>
              <w:rPr>
                <w:snapToGrid w:val="0"/>
              </w:rPr>
            </w:pPr>
            <w:r w:rsidRPr="00031745">
              <w:rPr>
                <w:snapToGrid w:val="0"/>
              </w:rPr>
              <w:t>6-month-old infant with extravasation injury</w:t>
            </w:r>
          </w:p>
          <w:p w14:paraId="38FE574D" w14:textId="77777777" w:rsidR="007F04E2" w:rsidRPr="00031745" w:rsidRDefault="007F04E2" w:rsidP="007F04E2">
            <w:pPr>
              <w:pStyle w:val="21TableBodyMiddle"/>
              <w:rPr>
                <w:i/>
                <w:snapToGrid w:val="0"/>
              </w:rPr>
            </w:pPr>
            <w:r w:rsidRPr="00031745">
              <w:rPr>
                <w:i/>
                <w:snapToGrid w:val="0"/>
              </w:rPr>
              <w:t>n = 1</w:t>
            </w:r>
          </w:p>
        </w:tc>
        <w:tc>
          <w:tcPr>
            <w:tcW w:w="3827" w:type="dxa"/>
            <w:vAlign w:val="center"/>
          </w:tcPr>
          <w:p w14:paraId="1067E57D" w14:textId="77777777" w:rsidR="007F04E2" w:rsidRPr="00031745" w:rsidRDefault="007F04E2" w:rsidP="007F04E2">
            <w:pPr>
              <w:pStyle w:val="21TableBodyMiddle"/>
              <w:rPr>
                <w:i/>
                <w:snapToGrid w:val="0"/>
              </w:rPr>
            </w:pPr>
            <w:r w:rsidRPr="00031745">
              <w:rPr>
                <w:i/>
                <w:snapToGrid w:val="0"/>
              </w:rPr>
              <w:t>Case study</w:t>
            </w:r>
          </w:p>
          <w:p w14:paraId="7CDBAEF1" w14:textId="77777777" w:rsidR="007F04E2" w:rsidRPr="00031745" w:rsidRDefault="007F04E2" w:rsidP="007F04E2">
            <w:pPr>
              <w:pStyle w:val="21TableBodyMiddle"/>
              <w:rPr>
                <w:i/>
                <w:snapToGrid w:val="0"/>
              </w:rPr>
            </w:pPr>
            <w:r w:rsidRPr="00031745">
              <w:rPr>
                <w:i/>
                <w:snapToGrid w:val="0"/>
              </w:rPr>
              <w:t>Intervention: Saline flush out technique with hyaluronidase.</w:t>
            </w:r>
          </w:p>
        </w:tc>
        <w:tc>
          <w:tcPr>
            <w:tcW w:w="5877" w:type="dxa"/>
            <w:vAlign w:val="center"/>
          </w:tcPr>
          <w:p w14:paraId="12D35F25" w14:textId="77777777" w:rsidR="007F04E2" w:rsidRPr="00031745" w:rsidRDefault="007F04E2" w:rsidP="007F04E2">
            <w:pPr>
              <w:pStyle w:val="21TableBodyMiddle"/>
              <w:rPr>
                <w:snapToGrid w:val="0"/>
              </w:rPr>
            </w:pPr>
            <w:r w:rsidRPr="00031745">
              <w:rPr>
                <w:snapToGrid w:val="0"/>
              </w:rPr>
              <w:t>The saline flush out technique used with early intervention demonstrated a good outcome. Hyaluronidase was used in conjunction to break down hyaluronic acid.  Quick action to refer a plastic surgeon is vital to save the extremity and prevent any further complications.</w:t>
            </w:r>
          </w:p>
        </w:tc>
      </w:tr>
      <w:tr w:rsidR="007F04E2" w:rsidRPr="00031745" w14:paraId="7B7EF3E7" w14:textId="77777777" w:rsidTr="00BE760D">
        <w:trPr>
          <w:trHeight w:val="20"/>
          <w:jc w:val="center"/>
        </w:trPr>
        <w:tc>
          <w:tcPr>
            <w:tcW w:w="1423" w:type="dxa"/>
            <w:vMerge/>
            <w:vAlign w:val="center"/>
          </w:tcPr>
          <w:p w14:paraId="5E678BA9" w14:textId="77777777" w:rsidR="007F04E2" w:rsidRPr="00031745" w:rsidRDefault="007F04E2" w:rsidP="007F04E2">
            <w:pPr>
              <w:pStyle w:val="21TableBodyMiddle"/>
              <w:rPr>
                <w:snapToGrid w:val="0"/>
              </w:rPr>
            </w:pPr>
          </w:p>
        </w:tc>
        <w:tc>
          <w:tcPr>
            <w:tcW w:w="1367" w:type="dxa"/>
            <w:vAlign w:val="center"/>
          </w:tcPr>
          <w:p w14:paraId="4565AF15" w14:textId="77777777" w:rsidR="007F04E2" w:rsidRPr="00031745" w:rsidRDefault="007F04E2" w:rsidP="007F04E2">
            <w:pPr>
              <w:pStyle w:val="21TableBodyMiddle"/>
              <w:rPr>
                <w:snapToGrid w:val="0"/>
              </w:rPr>
            </w:pPr>
            <w:r w:rsidRPr="00031745">
              <w:rPr>
                <w:snapToGrid w:val="0"/>
              </w:rPr>
              <w:t>Goli et al. 2022</w:t>
            </w:r>
          </w:p>
        </w:tc>
        <w:tc>
          <w:tcPr>
            <w:tcW w:w="2552" w:type="dxa"/>
            <w:vAlign w:val="center"/>
          </w:tcPr>
          <w:p w14:paraId="68FA868D" w14:textId="77777777" w:rsidR="007F04E2" w:rsidRPr="00031745" w:rsidRDefault="007F04E2" w:rsidP="007F04E2">
            <w:pPr>
              <w:pStyle w:val="21TableBodyMiddle"/>
              <w:rPr>
                <w:iCs/>
                <w:snapToGrid w:val="0"/>
              </w:rPr>
            </w:pPr>
            <w:r w:rsidRPr="00031745">
              <w:rPr>
                <w:iCs/>
                <w:snapToGrid w:val="0"/>
              </w:rPr>
              <w:t>37-week neonate with extravasation injury</w:t>
            </w:r>
          </w:p>
          <w:p w14:paraId="6E08CBD3" w14:textId="77777777" w:rsidR="007F04E2" w:rsidRPr="00031745" w:rsidRDefault="007F04E2" w:rsidP="007F04E2">
            <w:pPr>
              <w:pStyle w:val="21TableBodyMiddle"/>
              <w:rPr>
                <w:i/>
                <w:snapToGrid w:val="0"/>
              </w:rPr>
            </w:pPr>
            <w:r w:rsidRPr="00031745">
              <w:rPr>
                <w:i/>
                <w:snapToGrid w:val="0"/>
              </w:rPr>
              <w:t>n = 1</w:t>
            </w:r>
          </w:p>
        </w:tc>
        <w:tc>
          <w:tcPr>
            <w:tcW w:w="3827" w:type="dxa"/>
            <w:vAlign w:val="center"/>
          </w:tcPr>
          <w:p w14:paraId="6280607A" w14:textId="77777777" w:rsidR="007F04E2" w:rsidRPr="00031745" w:rsidRDefault="007F04E2" w:rsidP="007F04E2">
            <w:pPr>
              <w:pStyle w:val="21TableBodyMiddle"/>
              <w:rPr>
                <w:i/>
                <w:snapToGrid w:val="0"/>
              </w:rPr>
            </w:pPr>
            <w:r w:rsidRPr="00031745">
              <w:rPr>
                <w:i/>
                <w:snapToGrid w:val="0"/>
              </w:rPr>
              <w:t>Case study</w:t>
            </w:r>
          </w:p>
          <w:p w14:paraId="720207DA" w14:textId="77777777" w:rsidR="007F04E2" w:rsidRPr="00031745" w:rsidRDefault="007F04E2" w:rsidP="007F04E2">
            <w:pPr>
              <w:pStyle w:val="21TableBodyMiddle"/>
              <w:rPr>
                <w:i/>
                <w:snapToGrid w:val="0"/>
              </w:rPr>
            </w:pPr>
            <w:r w:rsidRPr="00031745">
              <w:rPr>
                <w:i/>
                <w:snapToGrid w:val="0"/>
              </w:rPr>
              <w:t xml:space="preserve">Intervention: </w:t>
            </w:r>
            <w:r w:rsidRPr="00031745">
              <w:rPr>
                <w:snapToGrid w:val="0"/>
              </w:rPr>
              <w:t>Medihoney™</w:t>
            </w:r>
          </w:p>
        </w:tc>
        <w:tc>
          <w:tcPr>
            <w:tcW w:w="5877" w:type="dxa"/>
            <w:vAlign w:val="center"/>
          </w:tcPr>
          <w:p w14:paraId="52F426BD" w14:textId="77777777" w:rsidR="007F04E2" w:rsidRPr="00031745" w:rsidRDefault="007F04E2" w:rsidP="007F04E2">
            <w:pPr>
              <w:pStyle w:val="21TableBodyMiddle"/>
              <w:rPr>
                <w:snapToGrid w:val="0"/>
              </w:rPr>
            </w:pPr>
            <w:r w:rsidRPr="00031745">
              <w:rPr>
                <w:snapToGrid w:val="0"/>
              </w:rPr>
              <w:t>This case revealed that honey antibacterial wound dressing (Medihoney™) could be an alternative to other common dressings in neonates suffering from extravasation injury.</w:t>
            </w:r>
          </w:p>
        </w:tc>
      </w:tr>
      <w:tr w:rsidR="007F04E2" w:rsidRPr="00031745" w14:paraId="68FCD106" w14:textId="77777777" w:rsidTr="00BE760D">
        <w:trPr>
          <w:trHeight w:val="20"/>
          <w:jc w:val="center"/>
        </w:trPr>
        <w:tc>
          <w:tcPr>
            <w:tcW w:w="1423" w:type="dxa"/>
            <w:vMerge/>
            <w:vAlign w:val="center"/>
          </w:tcPr>
          <w:p w14:paraId="505FDD8D" w14:textId="77777777" w:rsidR="007F04E2" w:rsidRPr="00031745" w:rsidRDefault="007F04E2" w:rsidP="007F04E2">
            <w:pPr>
              <w:pStyle w:val="21TableBodyMiddle"/>
              <w:rPr>
                <w:snapToGrid w:val="0"/>
              </w:rPr>
            </w:pPr>
          </w:p>
        </w:tc>
        <w:tc>
          <w:tcPr>
            <w:tcW w:w="1367" w:type="dxa"/>
            <w:vAlign w:val="center"/>
          </w:tcPr>
          <w:p w14:paraId="08C35526" w14:textId="77777777" w:rsidR="007F04E2" w:rsidRPr="00031745" w:rsidRDefault="007F04E2" w:rsidP="007F04E2">
            <w:pPr>
              <w:pStyle w:val="21TableBodyMiddle"/>
              <w:rPr>
                <w:snapToGrid w:val="0"/>
              </w:rPr>
            </w:pPr>
            <w:r w:rsidRPr="00031745">
              <w:rPr>
                <w:snapToGrid w:val="0"/>
              </w:rPr>
              <w:t>Odom BH, et al.   2018</w:t>
            </w:r>
          </w:p>
        </w:tc>
        <w:tc>
          <w:tcPr>
            <w:tcW w:w="2552" w:type="dxa"/>
            <w:vAlign w:val="center"/>
          </w:tcPr>
          <w:p w14:paraId="48A64DFF" w14:textId="77777777" w:rsidR="007F04E2" w:rsidRPr="00031745" w:rsidRDefault="007F04E2" w:rsidP="007F04E2">
            <w:pPr>
              <w:pStyle w:val="21TableBodyMiddle"/>
              <w:rPr>
                <w:snapToGrid w:val="0"/>
              </w:rPr>
            </w:pPr>
            <w:r w:rsidRPr="00031745">
              <w:rPr>
                <w:snapToGrid w:val="0"/>
              </w:rPr>
              <w:t>&lt; 18 years old, extravasation injuries between 2014 - 2015</w:t>
            </w:r>
          </w:p>
          <w:p w14:paraId="2F0B1C82" w14:textId="77777777" w:rsidR="007F04E2" w:rsidRPr="00031745" w:rsidRDefault="007F04E2" w:rsidP="007F04E2">
            <w:pPr>
              <w:pStyle w:val="21TableBodyMiddle"/>
              <w:rPr>
                <w:snapToGrid w:val="0"/>
              </w:rPr>
            </w:pPr>
            <w:r w:rsidRPr="00031745">
              <w:rPr>
                <w:i/>
                <w:snapToGrid w:val="0"/>
              </w:rPr>
              <w:t>n</w:t>
            </w:r>
            <w:r w:rsidRPr="00031745">
              <w:rPr>
                <w:snapToGrid w:val="0"/>
              </w:rPr>
              <w:t xml:space="preserve"> = 147</w:t>
            </w:r>
          </w:p>
        </w:tc>
        <w:tc>
          <w:tcPr>
            <w:tcW w:w="3827" w:type="dxa"/>
            <w:vAlign w:val="center"/>
          </w:tcPr>
          <w:p w14:paraId="58517E24" w14:textId="77777777" w:rsidR="007F04E2" w:rsidRPr="00031745" w:rsidRDefault="007F04E2" w:rsidP="007F04E2">
            <w:pPr>
              <w:pStyle w:val="21TableBodyMiddle"/>
              <w:rPr>
                <w:i/>
                <w:snapToGrid w:val="0"/>
              </w:rPr>
            </w:pPr>
            <w:r w:rsidRPr="00031745">
              <w:rPr>
                <w:i/>
                <w:snapToGrid w:val="0"/>
              </w:rPr>
              <w:t>Retrospective review</w:t>
            </w:r>
          </w:p>
          <w:p w14:paraId="49611FE4" w14:textId="77777777" w:rsidR="007F04E2" w:rsidRPr="00031745" w:rsidRDefault="007F04E2" w:rsidP="007F04E2">
            <w:pPr>
              <w:pStyle w:val="21TableBodyMiddle"/>
              <w:rPr>
                <w:i/>
                <w:snapToGrid w:val="0"/>
              </w:rPr>
            </w:pPr>
            <w:r w:rsidRPr="00031745">
              <w:rPr>
                <w:i/>
                <w:snapToGrid w:val="0"/>
              </w:rPr>
              <w:t>Intervention with modalities and injectable medications by nursing staff, 5 cases treated by physical therapy</w:t>
            </w:r>
          </w:p>
        </w:tc>
        <w:tc>
          <w:tcPr>
            <w:tcW w:w="5877" w:type="dxa"/>
            <w:vAlign w:val="center"/>
          </w:tcPr>
          <w:p w14:paraId="2E114E7D" w14:textId="77777777" w:rsidR="007F04E2" w:rsidRPr="00031745" w:rsidRDefault="007F04E2" w:rsidP="007F04E2">
            <w:pPr>
              <w:pStyle w:val="21TableBodyMiddle"/>
              <w:rPr>
                <w:snapToGrid w:val="0"/>
              </w:rPr>
            </w:pPr>
            <w:r w:rsidRPr="00031745">
              <w:rPr>
                <w:snapToGrid w:val="0"/>
              </w:rPr>
              <w:t>None of the patients in the study required surgical intervention for wound healing or had an infection resulting from the wound. In addition, none of the cases reviewed developed compartment syndrome.</w:t>
            </w:r>
          </w:p>
        </w:tc>
      </w:tr>
      <w:tr w:rsidR="007F04E2" w:rsidRPr="00031745" w14:paraId="231B190C" w14:textId="77777777" w:rsidTr="00BE760D">
        <w:trPr>
          <w:trHeight w:val="20"/>
          <w:jc w:val="center"/>
        </w:trPr>
        <w:tc>
          <w:tcPr>
            <w:tcW w:w="1423" w:type="dxa"/>
            <w:vMerge/>
            <w:vAlign w:val="center"/>
          </w:tcPr>
          <w:p w14:paraId="45EBB530" w14:textId="77777777" w:rsidR="007F04E2" w:rsidRPr="00031745" w:rsidRDefault="007F04E2" w:rsidP="007F04E2">
            <w:pPr>
              <w:pStyle w:val="21TableBodyMiddle"/>
              <w:rPr>
                <w:snapToGrid w:val="0"/>
              </w:rPr>
            </w:pPr>
          </w:p>
        </w:tc>
        <w:tc>
          <w:tcPr>
            <w:tcW w:w="1367" w:type="dxa"/>
            <w:vAlign w:val="center"/>
          </w:tcPr>
          <w:p w14:paraId="7E92BC63" w14:textId="77777777" w:rsidR="007F04E2" w:rsidRPr="00031745" w:rsidRDefault="007F04E2" w:rsidP="007F04E2">
            <w:pPr>
              <w:pStyle w:val="21TableBodyMiddle"/>
              <w:rPr>
                <w:snapToGrid w:val="0"/>
              </w:rPr>
            </w:pPr>
            <w:r w:rsidRPr="00031745">
              <w:rPr>
                <w:snapToGrid w:val="0"/>
              </w:rPr>
              <w:t>Peshiman et al. 2022</w:t>
            </w:r>
          </w:p>
        </w:tc>
        <w:tc>
          <w:tcPr>
            <w:tcW w:w="2552" w:type="dxa"/>
            <w:vAlign w:val="center"/>
          </w:tcPr>
          <w:p w14:paraId="5E522CE1" w14:textId="77777777" w:rsidR="007F04E2" w:rsidRPr="00031745" w:rsidRDefault="007F04E2" w:rsidP="007F04E2">
            <w:pPr>
              <w:pStyle w:val="21TableBodyMiddle"/>
              <w:rPr>
                <w:snapToGrid w:val="0"/>
              </w:rPr>
            </w:pPr>
            <w:r w:rsidRPr="00031745">
              <w:rPr>
                <w:snapToGrid w:val="0"/>
              </w:rPr>
              <w:t>&lt;18 years old, extravasation injuries between 2017 - 2020</w:t>
            </w:r>
          </w:p>
          <w:p w14:paraId="1190AAF4" w14:textId="77777777" w:rsidR="007F04E2" w:rsidRPr="00031745" w:rsidRDefault="007F04E2" w:rsidP="007F04E2">
            <w:pPr>
              <w:pStyle w:val="21TableBodyMiddle"/>
              <w:rPr>
                <w:i/>
                <w:snapToGrid w:val="0"/>
              </w:rPr>
            </w:pPr>
            <w:r w:rsidRPr="00031745">
              <w:rPr>
                <w:i/>
                <w:snapToGrid w:val="0"/>
              </w:rPr>
              <w:lastRenderedPageBreak/>
              <w:t>n = 558</w:t>
            </w:r>
          </w:p>
        </w:tc>
        <w:tc>
          <w:tcPr>
            <w:tcW w:w="3827" w:type="dxa"/>
            <w:vAlign w:val="center"/>
          </w:tcPr>
          <w:p w14:paraId="75FB05BD" w14:textId="77777777" w:rsidR="007F04E2" w:rsidRPr="00031745" w:rsidRDefault="007F04E2" w:rsidP="007F04E2">
            <w:pPr>
              <w:pStyle w:val="21TableBodyMiddle"/>
              <w:rPr>
                <w:i/>
                <w:snapToGrid w:val="0"/>
              </w:rPr>
            </w:pPr>
            <w:r w:rsidRPr="00031745">
              <w:rPr>
                <w:i/>
                <w:snapToGrid w:val="0"/>
              </w:rPr>
              <w:lastRenderedPageBreak/>
              <w:t>Retrospective observational study</w:t>
            </w:r>
          </w:p>
          <w:p w14:paraId="3A181F38" w14:textId="77777777" w:rsidR="007F04E2" w:rsidRPr="00031745" w:rsidRDefault="007F04E2" w:rsidP="007F04E2">
            <w:pPr>
              <w:pStyle w:val="21TableBodyMiddle"/>
              <w:rPr>
                <w:i/>
                <w:snapToGrid w:val="0"/>
              </w:rPr>
            </w:pPr>
            <w:r w:rsidRPr="00031745">
              <w:rPr>
                <w:i/>
                <w:snapToGrid w:val="0"/>
              </w:rPr>
              <w:t xml:space="preserve">Review of traumatic events that </w:t>
            </w:r>
            <w:r w:rsidRPr="00031745">
              <w:rPr>
                <w:i/>
                <w:snapToGrid w:val="0"/>
              </w:rPr>
              <w:lastRenderedPageBreak/>
              <w:t>occurred with injection into PIV vs central venous or intraosseous catheter</w:t>
            </w:r>
          </w:p>
        </w:tc>
        <w:tc>
          <w:tcPr>
            <w:tcW w:w="5877" w:type="dxa"/>
            <w:vAlign w:val="center"/>
          </w:tcPr>
          <w:p w14:paraId="4A726F0D" w14:textId="77777777" w:rsidR="007F04E2" w:rsidRPr="00031745" w:rsidRDefault="007F04E2" w:rsidP="007F04E2">
            <w:pPr>
              <w:pStyle w:val="21TableBodyMiddle"/>
              <w:rPr>
                <w:snapToGrid w:val="0"/>
              </w:rPr>
            </w:pPr>
            <w:r w:rsidRPr="00031745">
              <w:rPr>
                <w:snapToGrid w:val="0"/>
              </w:rPr>
              <w:lastRenderedPageBreak/>
              <w:t xml:space="preserve">There was no difference in prevalence of adverse events following the administration of vasoactive drugs via peripheral venous catheters or via central </w:t>
            </w:r>
            <w:r w:rsidRPr="00031745">
              <w:rPr>
                <w:snapToGrid w:val="0"/>
              </w:rPr>
              <w:lastRenderedPageBreak/>
              <w:t>venous and intraosseous catheters.</w:t>
            </w:r>
          </w:p>
        </w:tc>
      </w:tr>
      <w:tr w:rsidR="007F04E2" w:rsidRPr="00031745" w14:paraId="063905A8" w14:textId="77777777" w:rsidTr="00BE760D">
        <w:trPr>
          <w:trHeight w:val="20"/>
          <w:jc w:val="center"/>
        </w:trPr>
        <w:tc>
          <w:tcPr>
            <w:tcW w:w="1423" w:type="dxa"/>
            <w:vMerge/>
            <w:vAlign w:val="center"/>
          </w:tcPr>
          <w:p w14:paraId="619C943C" w14:textId="77777777" w:rsidR="007F04E2" w:rsidRPr="00031745" w:rsidRDefault="007F04E2" w:rsidP="007F04E2">
            <w:pPr>
              <w:pStyle w:val="21TableBodyMiddle"/>
              <w:rPr>
                <w:snapToGrid w:val="0"/>
              </w:rPr>
            </w:pPr>
          </w:p>
        </w:tc>
        <w:tc>
          <w:tcPr>
            <w:tcW w:w="1367" w:type="dxa"/>
            <w:vAlign w:val="center"/>
          </w:tcPr>
          <w:p w14:paraId="4EEFA873" w14:textId="77777777" w:rsidR="007F04E2" w:rsidRPr="00031745" w:rsidRDefault="007F04E2" w:rsidP="007F04E2">
            <w:pPr>
              <w:pStyle w:val="21TableBodyMiddle"/>
              <w:rPr>
                <w:snapToGrid w:val="0"/>
              </w:rPr>
            </w:pPr>
            <w:r w:rsidRPr="00031745">
              <w:rPr>
                <w:snapToGrid w:val="0"/>
              </w:rPr>
              <w:t>Chen A, Lv, J, Lu P, Zhang C. 2018</w:t>
            </w:r>
          </w:p>
        </w:tc>
        <w:tc>
          <w:tcPr>
            <w:tcW w:w="2552" w:type="dxa"/>
            <w:vAlign w:val="center"/>
          </w:tcPr>
          <w:p w14:paraId="5B1E17C5" w14:textId="77777777" w:rsidR="007F04E2" w:rsidRPr="00031745" w:rsidRDefault="007F04E2" w:rsidP="007F04E2">
            <w:pPr>
              <w:pStyle w:val="21TableBodyMiddle"/>
              <w:rPr>
                <w:i/>
                <w:snapToGrid w:val="0"/>
              </w:rPr>
            </w:pPr>
            <w:r w:rsidRPr="00031745">
              <w:rPr>
                <w:i/>
                <w:snapToGrid w:val="0"/>
              </w:rPr>
              <w:t>Severe extravasation injury</w:t>
            </w:r>
          </w:p>
          <w:p w14:paraId="2C82D229" w14:textId="77777777" w:rsidR="007F04E2" w:rsidRPr="00031745" w:rsidRDefault="007F04E2" w:rsidP="007F04E2">
            <w:pPr>
              <w:pStyle w:val="21TableBodyMiddle"/>
              <w:rPr>
                <w:i/>
                <w:snapToGrid w:val="0"/>
              </w:rPr>
            </w:pPr>
            <w:r w:rsidRPr="00031745">
              <w:rPr>
                <w:i/>
                <w:snapToGrid w:val="0"/>
              </w:rPr>
              <w:t>n = 1</w:t>
            </w:r>
          </w:p>
        </w:tc>
        <w:tc>
          <w:tcPr>
            <w:tcW w:w="3827" w:type="dxa"/>
            <w:vAlign w:val="center"/>
          </w:tcPr>
          <w:p w14:paraId="31C53075" w14:textId="77777777" w:rsidR="007F04E2" w:rsidRPr="00031745" w:rsidRDefault="007F04E2" w:rsidP="007F04E2">
            <w:pPr>
              <w:pStyle w:val="21TableBodyMiddle"/>
              <w:rPr>
                <w:i/>
                <w:snapToGrid w:val="0"/>
              </w:rPr>
            </w:pPr>
            <w:r w:rsidRPr="00031745">
              <w:rPr>
                <w:i/>
                <w:snapToGrid w:val="0"/>
              </w:rPr>
              <w:t>Case study</w:t>
            </w:r>
          </w:p>
          <w:p w14:paraId="74E0CFDE" w14:textId="77777777" w:rsidR="007F04E2" w:rsidRPr="00031745" w:rsidRDefault="007F04E2" w:rsidP="007F04E2">
            <w:pPr>
              <w:pStyle w:val="21TableBodyMiddle"/>
              <w:rPr>
                <w:i/>
                <w:snapToGrid w:val="0"/>
              </w:rPr>
            </w:pPr>
            <w:r w:rsidRPr="00031745">
              <w:rPr>
                <w:snapToGrid w:val="0"/>
              </w:rPr>
              <w:t>This article has highlighted one case of a neonate with severe skin necrosis caused by peripheral IV extravasation</w:t>
            </w:r>
          </w:p>
        </w:tc>
        <w:tc>
          <w:tcPr>
            <w:tcW w:w="5877" w:type="dxa"/>
            <w:vAlign w:val="center"/>
          </w:tcPr>
          <w:p w14:paraId="6F936FE8" w14:textId="77777777" w:rsidR="007F04E2" w:rsidRPr="00031745" w:rsidRDefault="007F04E2" w:rsidP="007F04E2">
            <w:pPr>
              <w:pStyle w:val="21TableBodyMiddle"/>
              <w:rPr>
                <w:snapToGrid w:val="0"/>
              </w:rPr>
            </w:pPr>
            <w:r w:rsidRPr="00031745">
              <w:rPr>
                <w:snapToGrid w:val="0"/>
              </w:rPr>
              <w:t>The outcome was positive. The wound healed completely, with no limb dysfunction or scar contracture. Most importantly, limb amputation was avoided</w:t>
            </w:r>
          </w:p>
        </w:tc>
      </w:tr>
      <w:tr w:rsidR="007F04E2" w:rsidRPr="00031745" w14:paraId="56913273" w14:textId="77777777" w:rsidTr="00BE760D">
        <w:trPr>
          <w:trHeight w:val="20"/>
          <w:jc w:val="center"/>
        </w:trPr>
        <w:tc>
          <w:tcPr>
            <w:tcW w:w="1423" w:type="dxa"/>
            <w:vAlign w:val="center"/>
          </w:tcPr>
          <w:p w14:paraId="549AA093" w14:textId="77777777" w:rsidR="007F04E2" w:rsidRPr="00031745" w:rsidRDefault="007F04E2" w:rsidP="007F04E2">
            <w:pPr>
              <w:pStyle w:val="21TableBodyMiddle"/>
              <w:rPr>
                <w:snapToGrid w:val="0"/>
              </w:rPr>
            </w:pPr>
            <w:r w:rsidRPr="00031745">
              <w:rPr>
                <w:snapToGrid w:val="0"/>
              </w:rPr>
              <w:t>Pressure – medical device</w:t>
            </w:r>
          </w:p>
        </w:tc>
        <w:tc>
          <w:tcPr>
            <w:tcW w:w="1367" w:type="dxa"/>
            <w:vAlign w:val="center"/>
          </w:tcPr>
          <w:p w14:paraId="4B0EF720" w14:textId="77777777" w:rsidR="007F04E2" w:rsidRPr="00031745" w:rsidRDefault="007F04E2" w:rsidP="007F04E2">
            <w:pPr>
              <w:pStyle w:val="21TableBodyMiddle"/>
              <w:rPr>
                <w:snapToGrid w:val="0"/>
              </w:rPr>
            </w:pPr>
            <w:bookmarkStart w:id="0" w:name="_heading=h.gjdgxs" w:colFirst="0" w:colLast="0"/>
            <w:bookmarkEnd w:id="0"/>
            <w:r w:rsidRPr="00031745">
              <w:rPr>
                <w:snapToGrid w:val="0"/>
              </w:rPr>
              <w:t>Eltayeb H, Kassem R. 2017</w:t>
            </w:r>
          </w:p>
        </w:tc>
        <w:tc>
          <w:tcPr>
            <w:tcW w:w="2552" w:type="dxa"/>
            <w:vAlign w:val="center"/>
          </w:tcPr>
          <w:p w14:paraId="182B6AA8" w14:textId="77777777" w:rsidR="007F04E2" w:rsidRPr="00031745" w:rsidRDefault="007F04E2" w:rsidP="007F04E2">
            <w:pPr>
              <w:pStyle w:val="21TableBodyMiddle"/>
              <w:rPr>
                <w:snapToGrid w:val="0"/>
              </w:rPr>
            </w:pPr>
            <w:r w:rsidRPr="00031745">
              <w:rPr>
                <w:snapToGrid w:val="0"/>
              </w:rPr>
              <w:t>Pediatric patients with extremity injuries with soft tissue defects</w:t>
            </w:r>
          </w:p>
          <w:p w14:paraId="54A77550" w14:textId="77777777" w:rsidR="007F04E2" w:rsidRPr="00031745" w:rsidRDefault="007F04E2" w:rsidP="007F04E2">
            <w:pPr>
              <w:pStyle w:val="21TableBodyMiddle"/>
              <w:rPr>
                <w:i/>
                <w:snapToGrid w:val="0"/>
              </w:rPr>
            </w:pPr>
            <w:r w:rsidRPr="00031745">
              <w:rPr>
                <w:i/>
                <w:snapToGrid w:val="0"/>
              </w:rPr>
              <w:t>n = 20</w:t>
            </w:r>
          </w:p>
        </w:tc>
        <w:tc>
          <w:tcPr>
            <w:tcW w:w="3827" w:type="dxa"/>
            <w:vAlign w:val="center"/>
          </w:tcPr>
          <w:p w14:paraId="374C6670" w14:textId="77777777" w:rsidR="007F04E2" w:rsidRPr="00031745" w:rsidRDefault="007F04E2" w:rsidP="007F04E2">
            <w:pPr>
              <w:pStyle w:val="21TableBodyMiddle"/>
              <w:rPr>
                <w:i/>
                <w:snapToGrid w:val="0"/>
              </w:rPr>
            </w:pPr>
            <w:r w:rsidRPr="00031745">
              <w:rPr>
                <w:i/>
                <w:snapToGrid w:val="0"/>
              </w:rPr>
              <w:t>Prospective study</w:t>
            </w:r>
          </w:p>
          <w:p w14:paraId="0902B181" w14:textId="77777777" w:rsidR="007F04E2" w:rsidRPr="00031745" w:rsidRDefault="007F04E2" w:rsidP="007F04E2">
            <w:pPr>
              <w:pStyle w:val="21TableBodyMiddle"/>
              <w:rPr>
                <w:snapToGrid w:val="0"/>
              </w:rPr>
            </w:pPr>
            <w:r w:rsidRPr="00031745">
              <w:rPr>
                <w:i/>
                <w:snapToGrid w:val="0"/>
              </w:rPr>
              <w:t xml:space="preserve">Intervention: </w:t>
            </w:r>
            <w:r w:rsidRPr="00031745">
              <w:rPr>
                <w:snapToGrid w:val="0"/>
              </w:rPr>
              <w:t>Negative pressure wound therapy with vacuum assisted closure.</w:t>
            </w:r>
          </w:p>
        </w:tc>
        <w:tc>
          <w:tcPr>
            <w:tcW w:w="5877" w:type="dxa"/>
            <w:vAlign w:val="center"/>
          </w:tcPr>
          <w:p w14:paraId="47605B09" w14:textId="77777777" w:rsidR="007F04E2" w:rsidRPr="00031745" w:rsidRDefault="007F04E2" w:rsidP="007F04E2">
            <w:pPr>
              <w:pStyle w:val="21TableBodyMiddle"/>
              <w:rPr>
                <w:snapToGrid w:val="0"/>
              </w:rPr>
            </w:pPr>
            <w:r w:rsidRPr="00031745">
              <w:rPr>
                <w:snapToGrid w:val="0"/>
              </w:rPr>
              <w:t>NPWT is a beneficial method for managing soft tissue injuries until further treatment is applied. The efficacy of NPWT is supported by the study. The shortest duration of vacuum therapy (6 days) was used in the 8 subjects whose wounds were closed by Integra-dermal matrix and the longest duration of vacuum therapy (12 days) was used in the 4 subjects whose wounds were closed by local flap advancement.</w:t>
            </w:r>
          </w:p>
        </w:tc>
      </w:tr>
    </w:tbl>
    <w:p w14:paraId="1B4938E0" w14:textId="77777777" w:rsidR="007F04E2" w:rsidRPr="00031745" w:rsidRDefault="007F04E2" w:rsidP="00BE760D">
      <w:pPr>
        <w:pStyle w:val="24TableFigureFooterFront"/>
        <w:rPr>
          <w:snapToGrid w:val="0"/>
        </w:rPr>
      </w:pPr>
      <w:r w:rsidRPr="00031745">
        <w:rPr>
          <w:snapToGrid w:val="0"/>
        </w:rPr>
        <w:t>References</w:t>
      </w:r>
    </w:p>
    <w:p w14:paraId="6317ADB5" w14:textId="77777777" w:rsidR="007F04E2" w:rsidRPr="00031745" w:rsidRDefault="007F04E2" w:rsidP="00BE760D">
      <w:pPr>
        <w:pStyle w:val="25TableFigureFooterMiddle"/>
        <w:numPr>
          <w:ilvl w:val="0"/>
          <w:numId w:val="5"/>
        </w:numPr>
        <w:ind w:left="234" w:hangingChars="130" w:hanging="234"/>
        <w:rPr>
          <w:snapToGrid w:val="0"/>
        </w:rPr>
      </w:pPr>
      <w:r w:rsidRPr="00031745">
        <w:rPr>
          <w:snapToGrid w:val="0"/>
        </w:rPr>
        <w:t>Burns</w:t>
      </w:r>
    </w:p>
    <w:p w14:paraId="1E6FEBC5"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Alinejad, F., Momeni, et. al. Comparing the effect of two types of silver nano-crystalline dressings (acticoat and agcoat) in the treatment of full thickness burn wound. </w:t>
      </w:r>
      <w:r w:rsidRPr="00031745">
        <w:rPr>
          <w:i/>
          <w:iCs/>
          <w:snapToGrid w:val="0"/>
        </w:rPr>
        <w:t>Iranian journal of microbiology</w:t>
      </w:r>
      <w:r w:rsidRPr="00031745">
        <w:rPr>
          <w:snapToGrid w:val="0"/>
        </w:rPr>
        <w:t>, 2018;10(6), 378–384. https://pubmed.ncbi.nlm.nih.gov/30873265/</w:t>
      </w:r>
    </w:p>
    <w:p w14:paraId="46B4B770"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Choi YM, Campbell K, Levek C, Recicar J, Moulton S. Antibiotic ointment versus a silver-based dressing for children with extremity burns: A randomized controlled study. </w:t>
      </w:r>
      <w:r w:rsidRPr="00031745">
        <w:rPr>
          <w:i/>
          <w:snapToGrid w:val="0"/>
        </w:rPr>
        <w:t>J Pediatr Surg</w:t>
      </w:r>
      <w:r w:rsidRPr="00031745">
        <w:rPr>
          <w:snapToGrid w:val="0"/>
        </w:rPr>
        <w:t>. 2018;54(7):1391-1396. https://doi.org/10.1016/j.jpedsurg.2018.06.011</w:t>
      </w:r>
    </w:p>
    <w:p w14:paraId="1DEE197C"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Ciprandi G, Ramsay S, Budkevich L, et al. A retrospective systematic data review of the use of polihexadine- containing product on burns in children. </w:t>
      </w:r>
      <w:r w:rsidRPr="00031745">
        <w:rPr>
          <w:i/>
          <w:snapToGrid w:val="0"/>
        </w:rPr>
        <w:t>J Tissue Viability.</w:t>
      </w:r>
      <w:r w:rsidRPr="00031745">
        <w:rPr>
          <w:snapToGrid w:val="0"/>
        </w:rPr>
        <w:t xml:space="preserve"> 2018;27(4):244-248.</w:t>
      </w:r>
    </w:p>
    <w:p w14:paraId="52545CB3"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de Graaf E, van Baar ME, Baartmans M, et al. Partial-Thickness scalds in children: A comparison of different treatment strategies. </w:t>
      </w:r>
      <w:r w:rsidRPr="00031745">
        <w:rPr>
          <w:i/>
          <w:snapToGrid w:val="0"/>
        </w:rPr>
        <w:t xml:space="preserve">Burns. </w:t>
      </w:r>
      <w:r w:rsidRPr="00031745">
        <w:rPr>
          <w:snapToGrid w:val="0"/>
        </w:rPr>
        <w:t>2017;43(4):733-740.</w:t>
      </w:r>
    </w:p>
    <w:p w14:paraId="097510C7"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Fidvi A, et al. Collagen Application in Pediatric Superficial Burns: The Right Time! </w:t>
      </w:r>
      <w:r w:rsidRPr="00031745">
        <w:rPr>
          <w:i/>
          <w:iCs/>
          <w:snapToGrid w:val="0"/>
        </w:rPr>
        <w:t>Surg J (N Y)</w:t>
      </w:r>
      <w:r w:rsidRPr="00031745">
        <w:rPr>
          <w:snapToGrid w:val="0"/>
        </w:rPr>
        <w:t>. 2023;9(4</w:t>
      </w:r>
      <w:proofErr w:type="gramStart"/>
      <w:r w:rsidRPr="00031745">
        <w:rPr>
          <w:snapToGrid w:val="0"/>
        </w:rPr>
        <w:t>):e</w:t>
      </w:r>
      <w:proofErr w:type="gramEnd"/>
      <w:r w:rsidRPr="00031745">
        <w:rPr>
          <w:snapToGrid w:val="0"/>
        </w:rPr>
        <w:t>135-e144.</w:t>
      </w:r>
    </w:p>
    <w:p w14:paraId="6B115C49"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Gagnon, L. Advances in burn care for kids. Dermatology Times, 2015;36(9), 26. https://ucark.idm.oclc.org/login?url=https://www.proquest.com/trade-journals/advances-burn-care-kids/docview/1804853126/se-2</w:t>
      </w:r>
    </w:p>
    <w:p w14:paraId="140E4CFD"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Gee Kee EL, Kimble RM, Cuttle L, Khan A, Stockton KA. Randomized controlled trial of three burns dressings for partial thickness burns in children. </w:t>
      </w:r>
      <w:r w:rsidRPr="00031745">
        <w:rPr>
          <w:i/>
          <w:iCs/>
          <w:snapToGrid w:val="0"/>
        </w:rPr>
        <w:t>Burns</w:t>
      </w:r>
      <w:r w:rsidRPr="00031745">
        <w:rPr>
          <w:snapToGrid w:val="0"/>
        </w:rPr>
        <w:t>. 2015;41(5):946-955. https://doi.org/10.1016/j.burns.2014.11.005</w:t>
      </w:r>
    </w:p>
    <w:p w14:paraId="03AC521E"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Gurunluoglu K, Demircan M, Tasci A, et al. </w:t>
      </w:r>
      <w:r w:rsidRPr="00031745">
        <w:rPr>
          <w:i/>
          <w:snapToGrid w:val="0"/>
        </w:rPr>
        <w:t>J Burn Care Res.</w:t>
      </w:r>
      <w:r w:rsidRPr="00031745">
        <w:rPr>
          <w:snapToGrid w:val="0"/>
        </w:rPr>
        <w:t xml:space="preserve"> 2019;40(4):444-450.</w:t>
      </w:r>
    </w:p>
    <w:p w14:paraId="04D6F1F7"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Hundeshagen, G., Collins, V. N., Wurzer, P., Sherman, W., Voigt, C. D., Cambiaso-Daniel, J., Nunez Lopez, O., Sheaffer, J., Herndon, D. N., Finnerty, C. C., &amp; Branski, L. K. A Prospective, Randomized, Controlled Trial Comparing the Outpatient Treatment of Pediatric and Adult Partial-Thickness Burns with Suprathel or Mepilex Ag. Journal of burn care &amp; </w:t>
      </w:r>
      <w:proofErr w:type="gramStart"/>
      <w:r w:rsidRPr="00031745">
        <w:rPr>
          <w:snapToGrid w:val="0"/>
        </w:rPr>
        <w:t>research :</w:t>
      </w:r>
      <w:proofErr w:type="gramEnd"/>
      <w:r w:rsidRPr="00031745">
        <w:rPr>
          <w:snapToGrid w:val="0"/>
        </w:rPr>
        <w:t xml:space="preserve"> official publication of the American Burn Association, 2018;39(2), 261–267. https://doi.org/10.1097/BCR.0000000000000584</w:t>
      </w:r>
    </w:p>
    <w:p w14:paraId="450D3286"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Hyland, E. J., D'Cruz, R., Menon, S., Harvey, J. G., La Hei, E., Lawrence, T., Waddell, K., Nash, M., &amp; Holland, A. J. Biobrane™ versus acticoat™ for the treatment of mid-dermal pediatric burns: a prospective randomized controlled pilot study. International journal of burns and trauma, 2018;8(3), 63–67. https://pubmed.ncbi.nlm.nih.gov/30042865/</w:t>
      </w:r>
    </w:p>
    <w:p w14:paraId="26581573"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Lau CT, Wong KK, Tam P. Silver containing hydrofiber dressing promotes wound healing in paediatric patients with partial thickness burns. </w:t>
      </w:r>
      <w:r w:rsidRPr="00031745">
        <w:rPr>
          <w:i/>
          <w:snapToGrid w:val="0"/>
        </w:rPr>
        <w:t>Pediatr Surg Int.</w:t>
      </w:r>
      <w:r w:rsidRPr="00031745">
        <w:rPr>
          <w:snapToGrid w:val="0"/>
        </w:rPr>
        <w:t xml:space="preserve"> 2016;32(6):577-81.</w:t>
      </w:r>
    </w:p>
    <w:p w14:paraId="1C3B9D4B" w14:textId="77777777" w:rsidR="009F4534" w:rsidRPr="009F4534" w:rsidRDefault="007F04E2" w:rsidP="00C60925">
      <w:pPr>
        <w:pStyle w:val="25TableFigureFooterMiddle"/>
        <w:numPr>
          <w:ilvl w:val="0"/>
          <w:numId w:val="6"/>
        </w:numPr>
        <w:ind w:leftChars="100" w:left="496" w:hangingChars="142" w:hanging="256"/>
        <w:jc w:val="both"/>
        <w:rPr>
          <w:snapToGrid w:val="0"/>
        </w:rPr>
      </w:pPr>
      <w:r w:rsidRPr="00031745">
        <w:rPr>
          <w:snapToGrid w:val="0"/>
        </w:rPr>
        <w:t>Lőrincz A, Lamberti AG, Juhász Z, Garami A, Józsa G. Pediatric deep burn management after split-thickness autologous skin transplantation: A comparative study. Medicine (Baltimore). 2021;100(44</w:t>
      </w:r>
      <w:proofErr w:type="gramStart"/>
      <w:r w:rsidRPr="00031745">
        <w:rPr>
          <w:snapToGrid w:val="0"/>
        </w:rPr>
        <w:t>):e</w:t>
      </w:r>
      <w:proofErr w:type="gramEnd"/>
      <w:r w:rsidRPr="00031745">
        <w:rPr>
          <w:snapToGrid w:val="0"/>
        </w:rPr>
        <w:t xml:space="preserve">27633. </w:t>
      </w:r>
      <w:hyperlink r:id="rId7" w:history="1">
        <w:r w:rsidR="009F4534" w:rsidRPr="00BA7516">
          <w:rPr>
            <w:rStyle w:val="a3"/>
            <w:snapToGrid w:val="0"/>
            <w:sz w:val="18"/>
          </w:rPr>
          <w:t>https://doi.org/10.1097/MD.0000000000027633</w:t>
        </w:r>
      </w:hyperlink>
    </w:p>
    <w:p w14:paraId="360E08C9" w14:textId="77777777" w:rsidR="007F04E2" w:rsidRPr="009F4534" w:rsidRDefault="007F04E2" w:rsidP="00C60925">
      <w:pPr>
        <w:pStyle w:val="25TableFigureFooterMiddle"/>
        <w:numPr>
          <w:ilvl w:val="0"/>
          <w:numId w:val="6"/>
        </w:numPr>
        <w:ind w:leftChars="100" w:left="496" w:hangingChars="142" w:hanging="256"/>
        <w:jc w:val="both"/>
        <w:rPr>
          <w:snapToGrid w:val="0"/>
        </w:rPr>
      </w:pPr>
      <w:r w:rsidRPr="009F4534">
        <w:rPr>
          <w:snapToGrid w:val="0"/>
        </w:rPr>
        <w:t>McBride, C. A., Kimble, R. M., &amp; Stockton, K. Three donor site dressings in pediatric split-thickness skin grafts: study protocol for a randomized controlled trial. Trials, 2015;16, 43. https://doi.org/10.1186/s13063-015-0557-9</w:t>
      </w:r>
    </w:p>
    <w:p w14:paraId="5373C5E2"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Moniruzzaman M, et al. Pediatric first-degree burn management with honey and 1% silver sulphadiazine (Ag-SD): Comparison and Contrast. </w:t>
      </w:r>
      <w:r w:rsidRPr="00031745">
        <w:rPr>
          <w:i/>
          <w:iCs/>
          <w:snapToGrid w:val="0"/>
        </w:rPr>
        <w:t xml:space="preserve">Cureus. </w:t>
      </w:r>
      <w:r w:rsidRPr="00031745">
        <w:rPr>
          <w:snapToGrid w:val="0"/>
        </w:rPr>
        <w:t>2022;14(12): e32842. DOI 10.7759/cureus.32842</w:t>
      </w:r>
    </w:p>
    <w:p w14:paraId="1B7B5827"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Saaiq, M. Presentation and management outcome of childhood scald burns managed with hydrocolloid dressings compared with silver sulphadiazine dressings. </w:t>
      </w:r>
      <w:r w:rsidRPr="00031745">
        <w:rPr>
          <w:i/>
          <w:iCs/>
          <w:snapToGrid w:val="0"/>
        </w:rPr>
        <w:t>Ann Burns Fire Disasters</w:t>
      </w:r>
      <w:r w:rsidRPr="00031745">
        <w:rPr>
          <w:snapToGrid w:val="0"/>
        </w:rPr>
        <w:t>. 2023 Jun 30;36(2): 158-164</w:t>
      </w:r>
    </w:p>
    <w:p w14:paraId="65F19CF8" w14:textId="77777777" w:rsidR="007F04E2" w:rsidRPr="00031745" w:rsidRDefault="007F04E2" w:rsidP="00C60925">
      <w:pPr>
        <w:pStyle w:val="25TableFigureFooterMiddle"/>
        <w:numPr>
          <w:ilvl w:val="0"/>
          <w:numId w:val="6"/>
        </w:numPr>
        <w:ind w:leftChars="100" w:left="496" w:hangingChars="142" w:hanging="256"/>
        <w:jc w:val="both"/>
        <w:rPr>
          <w:snapToGrid w:val="0"/>
        </w:rPr>
      </w:pPr>
      <w:r w:rsidRPr="00031745">
        <w:rPr>
          <w:snapToGrid w:val="0"/>
        </w:rPr>
        <w:t xml:space="preserve">Singh, A., &amp; Bhatnagar, A. Management </w:t>
      </w:r>
      <w:proofErr w:type="gramStart"/>
      <w:r w:rsidRPr="00031745">
        <w:rPr>
          <w:snapToGrid w:val="0"/>
        </w:rPr>
        <w:t>Of</w:t>
      </w:r>
      <w:proofErr w:type="gramEnd"/>
      <w:r w:rsidRPr="00031745">
        <w:rPr>
          <w:snapToGrid w:val="0"/>
        </w:rPr>
        <w:t xml:space="preserve"> Superficial Partial Thickness Burn </w:t>
      </w:r>
      <w:proofErr w:type="gramStart"/>
      <w:r w:rsidRPr="00031745">
        <w:rPr>
          <w:snapToGrid w:val="0"/>
        </w:rPr>
        <w:t>With</w:t>
      </w:r>
      <w:proofErr w:type="gramEnd"/>
      <w:r w:rsidRPr="00031745">
        <w:rPr>
          <w:snapToGrid w:val="0"/>
        </w:rPr>
        <w:t xml:space="preserve"> Collagen Sheet Dressing Compared </w:t>
      </w:r>
      <w:proofErr w:type="gramStart"/>
      <w:r w:rsidRPr="00031745">
        <w:rPr>
          <w:snapToGrid w:val="0"/>
        </w:rPr>
        <w:t>With</w:t>
      </w:r>
      <w:proofErr w:type="gramEnd"/>
      <w:r w:rsidRPr="00031745">
        <w:rPr>
          <w:snapToGrid w:val="0"/>
        </w:rPr>
        <w:t xml:space="preserve"> Paraffin Gauze </w:t>
      </w:r>
      <w:proofErr w:type="gramStart"/>
      <w:r w:rsidRPr="00031745">
        <w:rPr>
          <w:snapToGrid w:val="0"/>
        </w:rPr>
        <w:t>And</w:t>
      </w:r>
      <w:proofErr w:type="gramEnd"/>
      <w:r w:rsidRPr="00031745">
        <w:rPr>
          <w:snapToGrid w:val="0"/>
        </w:rPr>
        <w:t xml:space="preserve"> Silver Sulfadiazine. </w:t>
      </w:r>
      <w:r w:rsidRPr="00031745">
        <w:rPr>
          <w:i/>
          <w:iCs/>
          <w:snapToGrid w:val="0"/>
        </w:rPr>
        <w:t>Ann Burns Fire Disaster</w:t>
      </w:r>
      <w:r w:rsidRPr="00031745">
        <w:rPr>
          <w:snapToGrid w:val="0"/>
        </w:rPr>
        <w:t>. 2020;33(3), 233–238. https://www.ncbi.nlm.nih.gov/pmc/articles/PMC7680202 /</w:t>
      </w:r>
    </w:p>
    <w:p w14:paraId="011FB6E8" w14:textId="77777777" w:rsidR="007F04E2" w:rsidRPr="00031745" w:rsidRDefault="007F04E2" w:rsidP="00C60925">
      <w:pPr>
        <w:pStyle w:val="25TableFigureFooterMiddle"/>
        <w:numPr>
          <w:ilvl w:val="0"/>
          <w:numId w:val="5"/>
        </w:numPr>
        <w:ind w:left="234" w:hangingChars="130" w:hanging="234"/>
        <w:jc w:val="both"/>
        <w:rPr>
          <w:snapToGrid w:val="0"/>
        </w:rPr>
      </w:pPr>
      <w:r w:rsidRPr="00031745">
        <w:rPr>
          <w:snapToGrid w:val="0"/>
        </w:rPr>
        <w:t>Diaper Dermatitis</w:t>
      </w:r>
    </w:p>
    <w:p w14:paraId="38B88978"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Atikasari RG, Malik DA, Widayati RI, et al. Systematic Review and Meta-analysis of the Effectiveness of Topical Aloe vera on Diaper Dermatitis with Parameters Degree of Diaper Dermatitis with Scale. </w:t>
      </w:r>
      <w:r w:rsidRPr="00031745">
        <w:rPr>
          <w:i/>
          <w:snapToGrid w:val="0"/>
        </w:rPr>
        <w:t xml:space="preserve">Dermatol Res. </w:t>
      </w:r>
      <w:r w:rsidRPr="00031745">
        <w:rPr>
          <w:snapToGrid w:val="0"/>
        </w:rPr>
        <w:t>2021; 3(2): 1-11.</w:t>
      </w:r>
    </w:p>
    <w:p w14:paraId="1A7E9A5D"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Bartels N, Lünnemann L, Stroux A, Kottner J, Serrano J, Blume-Peytavi U. Effect of diaper cream and wet wipes on skin barrier properties in infants: a prospective randomized controlled trial. </w:t>
      </w:r>
      <w:r w:rsidRPr="00031745">
        <w:rPr>
          <w:i/>
          <w:snapToGrid w:val="0"/>
        </w:rPr>
        <w:t>Pediatr Dermatol</w:t>
      </w:r>
      <w:r w:rsidRPr="00031745">
        <w:rPr>
          <w:snapToGrid w:val="0"/>
        </w:rPr>
        <w:t>. 2014;31(6):683-691. https://doi.org/10.1111/pde.12370</w:t>
      </w:r>
    </w:p>
    <w:p w14:paraId="05F49198"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Chaithirayanon S. Comparative Study between Talcum and Zinc Oxide Cream for the Prevention of Irritant Contact Diaper Dermatitis in Infants. </w:t>
      </w:r>
      <w:r w:rsidRPr="00031745">
        <w:rPr>
          <w:i/>
          <w:snapToGrid w:val="0"/>
        </w:rPr>
        <w:t>J Med Assoc Thai</w:t>
      </w:r>
      <w:r w:rsidRPr="00031745">
        <w:rPr>
          <w:snapToGrid w:val="0"/>
        </w:rPr>
        <w:t xml:space="preserve">. 2016;99 Suppl </w:t>
      </w:r>
      <w:proofErr w:type="gramStart"/>
      <w:r w:rsidRPr="00031745">
        <w:rPr>
          <w:snapToGrid w:val="0"/>
        </w:rPr>
        <w:t>8:S</w:t>
      </w:r>
      <w:proofErr w:type="gramEnd"/>
      <w:r w:rsidRPr="00031745">
        <w:rPr>
          <w:snapToGrid w:val="0"/>
        </w:rPr>
        <w:t>1-S6. https://pubmed.ncbi.nlm.nih.gov/29901362/</w:t>
      </w:r>
    </w:p>
    <w:p w14:paraId="1282235A"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lastRenderedPageBreak/>
        <w:t xml:space="preserve">Gustin J, Bohman L, Ogle J, et al. Use of an emollient-containing diaper and pH-buffered wipe regimen restores skin pH and reduces residual enzymatic activity. </w:t>
      </w:r>
      <w:r w:rsidRPr="00031745">
        <w:rPr>
          <w:i/>
          <w:snapToGrid w:val="0"/>
        </w:rPr>
        <w:t>Pediatr Dermatol</w:t>
      </w:r>
      <w:r w:rsidRPr="00031745">
        <w:rPr>
          <w:snapToGrid w:val="0"/>
        </w:rPr>
        <w:t>. 2020;37(4):626-631. https://doi.org/10.1111/pde.14169</w:t>
      </w:r>
    </w:p>
    <w:p w14:paraId="2592F0D7"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Mahmoudi M, Adib-Hajbaghery M, Mashaiekhi M. Comparing the effects of Bentonite &amp; Calendula on the improvement of infantile diaper dermatitis: A randomized controlled trial. </w:t>
      </w:r>
      <w:r w:rsidRPr="00031745">
        <w:rPr>
          <w:i/>
          <w:snapToGrid w:val="0"/>
        </w:rPr>
        <w:t>Indian J Med Res</w:t>
      </w:r>
      <w:r w:rsidRPr="00031745">
        <w:rPr>
          <w:snapToGrid w:val="0"/>
        </w:rPr>
        <w:t xml:space="preserve">. 2015;142(6):742-746. https://doi.org/10.4103/0971-5916.174567 </w:t>
      </w:r>
    </w:p>
    <w:p w14:paraId="112E23FA"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Nourbakhsh SM, Rouhi-Boroujeni H, Kheiri M, et al. Effect of Topical Application of the Cream Containing Magnesium 2% on Treatment of Diaper Dermatitis and Diaper Rash in Children: A Clinical Trial Study. </w:t>
      </w:r>
      <w:r w:rsidRPr="00031745">
        <w:rPr>
          <w:i/>
          <w:snapToGrid w:val="0"/>
        </w:rPr>
        <w:t>J Clin Diagn Res</w:t>
      </w:r>
      <w:r w:rsidRPr="00031745">
        <w:rPr>
          <w:snapToGrid w:val="0"/>
        </w:rPr>
        <w:t>. 2016;10(1</w:t>
      </w:r>
      <w:proofErr w:type="gramStart"/>
      <w:r w:rsidRPr="00031745">
        <w:rPr>
          <w:snapToGrid w:val="0"/>
        </w:rPr>
        <w:t>):WC</w:t>
      </w:r>
      <w:proofErr w:type="gramEnd"/>
      <w:r w:rsidRPr="00031745">
        <w:rPr>
          <w:snapToGrid w:val="0"/>
        </w:rPr>
        <w:t>04-WC6. https://doi.org/10.7860/JCDR/2016/14997.7143</w:t>
      </w:r>
    </w:p>
    <w:p w14:paraId="3226E651"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Price AD, Lythgoe J, Ackers-Johnson J, Cook PA, Clarke-Cornwell AM, MacVane Phipps F. The BaSICS (Baby Skin Integrity Comparison Survey) study: A prospective experimental study using maternal observations to report the effect of baby wipes on the incidence of irritant diaper dermatitis in infants, from birth to eight weeks of age. </w:t>
      </w:r>
      <w:r w:rsidRPr="00031745">
        <w:rPr>
          <w:i/>
          <w:snapToGrid w:val="0"/>
        </w:rPr>
        <w:t>Pediatr Neonatol</w:t>
      </w:r>
      <w:r w:rsidRPr="00031745">
        <w:rPr>
          <w:snapToGrid w:val="0"/>
        </w:rPr>
        <w:t>. 2021;62(2):138-145. https://doi.org/10.1016/j.pedneo.2020.10.003</w:t>
      </w:r>
    </w:p>
    <w:p w14:paraId="195E899E"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Razor BR, Buckley B, Quiambao P, Dofitas R, Baltazar W. Incontinence-associated dermatitis (IAD) study: Blinded assessment and treatment with zinc oxide-based ointment. </w:t>
      </w:r>
      <w:r w:rsidRPr="00031745">
        <w:rPr>
          <w:i/>
          <w:snapToGrid w:val="0"/>
        </w:rPr>
        <w:t>World Council of Enterostomal Therapists Journal.</w:t>
      </w:r>
      <w:r w:rsidRPr="00031745">
        <w:rPr>
          <w:snapToGrid w:val="0"/>
        </w:rPr>
        <w:t xml:space="preserve"> 2015;34(4): 13-23.</w:t>
      </w:r>
    </w:p>
    <w:p w14:paraId="5AD24438"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Sharifi-Heris, Z., Amiri Farahani, L. &amp; Hasanpoor-Azghadi, S. B. A Review Study of Diaper Rash Dermatitis Treatments. </w:t>
      </w:r>
      <w:r w:rsidRPr="00031745">
        <w:rPr>
          <w:i/>
          <w:snapToGrid w:val="0"/>
        </w:rPr>
        <w:t>Journal of Client-Centered Nursing Care</w:t>
      </w:r>
      <w:r w:rsidRPr="00031745">
        <w:rPr>
          <w:snapToGrid w:val="0"/>
        </w:rPr>
        <w:t>, 2018;4(1): 1-12. https://doi.org/10.32598/10.32598/jccnc.2.4.1</w:t>
      </w:r>
    </w:p>
    <w:p w14:paraId="4F8FFFAB"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Yonezawa K, Haruna M, Matsuzaki M, Shiraishi M, Kojima R. Effects of moisturizing skincare on skin barrier function and the prevention of skin problems in 3-month-old infants: A randomized controlled trial. </w:t>
      </w:r>
      <w:r w:rsidRPr="00031745">
        <w:rPr>
          <w:i/>
          <w:snapToGrid w:val="0"/>
        </w:rPr>
        <w:t>J Dermatol</w:t>
      </w:r>
      <w:r w:rsidRPr="00031745">
        <w:rPr>
          <w:snapToGrid w:val="0"/>
        </w:rPr>
        <w:t>. 2018;45(1):24-30. https://doi.org/10.1111/1346-8138.14080</w:t>
      </w:r>
    </w:p>
    <w:p w14:paraId="62502F77" w14:textId="77777777" w:rsidR="007F04E2" w:rsidRPr="00031745" w:rsidRDefault="007F04E2" w:rsidP="00C60925">
      <w:pPr>
        <w:pStyle w:val="25TableFigureFooterMiddle"/>
        <w:numPr>
          <w:ilvl w:val="0"/>
          <w:numId w:val="7"/>
        </w:numPr>
        <w:ind w:leftChars="100" w:left="411" w:hangingChars="95" w:hanging="171"/>
        <w:jc w:val="both"/>
        <w:rPr>
          <w:snapToGrid w:val="0"/>
        </w:rPr>
      </w:pPr>
      <w:r w:rsidRPr="00031745">
        <w:rPr>
          <w:snapToGrid w:val="0"/>
        </w:rPr>
        <w:t xml:space="preserve">Yuan C, Takagi R, Yao XQ, Xu YF, Ishida K, Toyoshima H. Comparison of the Effectiveness of New Material Diapers versus Standard Diapers for the Prevention of Diaper Rash in Chinese Babies: A Double-Blinded, Randomized, Controlled, Cross-Over Study. </w:t>
      </w:r>
      <w:r w:rsidRPr="00031745">
        <w:rPr>
          <w:i/>
          <w:snapToGrid w:val="0"/>
        </w:rPr>
        <w:t>Biomed Res Int</w:t>
      </w:r>
      <w:r w:rsidRPr="00031745">
        <w:rPr>
          <w:snapToGrid w:val="0"/>
        </w:rPr>
        <w:t xml:space="preserve">. </w:t>
      </w:r>
      <w:proofErr w:type="gramStart"/>
      <w:r w:rsidRPr="00031745">
        <w:rPr>
          <w:snapToGrid w:val="0"/>
        </w:rPr>
        <w:t>2018;2018:5874184</w:t>
      </w:r>
      <w:proofErr w:type="gramEnd"/>
      <w:r w:rsidRPr="00031745">
        <w:rPr>
          <w:snapToGrid w:val="0"/>
        </w:rPr>
        <w:t xml:space="preserve">. https://doi.org/10.1155/2018/5874184 </w:t>
      </w:r>
    </w:p>
    <w:p w14:paraId="3939DB19" w14:textId="77777777" w:rsidR="007F04E2" w:rsidRPr="00031745" w:rsidRDefault="007F04E2" w:rsidP="00C60925">
      <w:pPr>
        <w:pStyle w:val="25TableFigureFooterMiddle"/>
        <w:numPr>
          <w:ilvl w:val="0"/>
          <w:numId w:val="5"/>
        </w:numPr>
        <w:ind w:left="234" w:hangingChars="130" w:hanging="234"/>
        <w:jc w:val="both"/>
        <w:rPr>
          <w:snapToGrid w:val="0"/>
        </w:rPr>
      </w:pPr>
      <w:r w:rsidRPr="00031745">
        <w:rPr>
          <w:snapToGrid w:val="0"/>
        </w:rPr>
        <w:t>Extravasation wounds</w:t>
      </w:r>
    </w:p>
    <w:p w14:paraId="7B971303" w14:textId="77777777" w:rsidR="007F04E2" w:rsidRPr="00031745" w:rsidRDefault="007F04E2" w:rsidP="00C60925">
      <w:pPr>
        <w:pStyle w:val="25TableFigureFooterMiddle"/>
        <w:numPr>
          <w:ilvl w:val="0"/>
          <w:numId w:val="8"/>
        </w:numPr>
        <w:ind w:leftChars="100" w:left="411" w:hangingChars="95" w:hanging="171"/>
        <w:jc w:val="both"/>
        <w:rPr>
          <w:snapToGrid w:val="0"/>
        </w:rPr>
      </w:pPr>
      <w:r w:rsidRPr="00031745">
        <w:rPr>
          <w:snapToGrid w:val="0"/>
        </w:rPr>
        <w:t xml:space="preserve">Alexander L. Extravasation Injuries: A Trivial Injury Often Overlooked with Disastrous Consequences. </w:t>
      </w:r>
      <w:r w:rsidRPr="00031745">
        <w:rPr>
          <w:i/>
          <w:snapToGrid w:val="0"/>
        </w:rPr>
        <w:t>World journal of plastic surgery</w:t>
      </w:r>
      <w:r w:rsidRPr="00031745">
        <w:rPr>
          <w:snapToGrid w:val="0"/>
        </w:rPr>
        <w:t>, 2020;9(3), 326–330. https://doi.org/10.29252/wjps.9.3.326</w:t>
      </w:r>
    </w:p>
    <w:p w14:paraId="6DC15E7C" w14:textId="77777777" w:rsidR="007F04E2" w:rsidRPr="00031745" w:rsidRDefault="007F04E2" w:rsidP="00C60925">
      <w:pPr>
        <w:pStyle w:val="25TableFigureFooterMiddle"/>
        <w:numPr>
          <w:ilvl w:val="0"/>
          <w:numId w:val="8"/>
        </w:numPr>
        <w:ind w:leftChars="100" w:left="411" w:hangingChars="95" w:hanging="171"/>
        <w:jc w:val="both"/>
        <w:rPr>
          <w:snapToGrid w:val="0"/>
        </w:rPr>
      </w:pPr>
      <w:r w:rsidRPr="00031745">
        <w:rPr>
          <w:snapToGrid w:val="0"/>
        </w:rPr>
        <w:t xml:space="preserve">Goli R, et al. Treating extravasation injury by honey antibacterial wound dressing in a neonate: A case report. </w:t>
      </w:r>
      <w:r w:rsidRPr="00031745">
        <w:rPr>
          <w:i/>
          <w:iCs/>
          <w:snapToGrid w:val="0"/>
        </w:rPr>
        <w:t xml:space="preserve">International J Surg Case Rep. </w:t>
      </w:r>
      <w:r w:rsidRPr="00031745">
        <w:rPr>
          <w:snapToGrid w:val="0"/>
        </w:rPr>
        <w:t xml:space="preserve">2022. Jun </w:t>
      </w:r>
      <w:proofErr w:type="gramStart"/>
      <w:r w:rsidRPr="00031745">
        <w:rPr>
          <w:snapToGrid w:val="0"/>
        </w:rPr>
        <w:t>4;95:107279</w:t>
      </w:r>
      <w:proofErr w:type="gramEnd"/>
      <w:r w:rsidRPr="00031745">
        <w:rPr>
          <w:snapToGrid w:val="0"/>
        </w:rPr>
        <w:t>. https://doi.org/10.1016/j.ijscr.2022.107279</w:t>
      </w:r>
    </w:p>
    <w:p w14:paraId="2E52B9C1" w14:textId="77777777" w:rsidR="007F04E2" w:rsidRPr="00031745" w:rsidRDefault="007F04E2" w:rsidP="00C60925">
      <w:pPr>
        <w:pStyle w:val="25TableFigureFooterMiddle"/>
        <w:numPr>
          <w:ilvl w:val="0"/>
          <w:numId w:val="8"/>
        </w:numPr>
        <w:ind w:leftChars="100" w:left="411" w:hangingChars="95" w:hanging="171"/>
        <w:jc w:val="both"/>
        <w:rPr>
          <w:snapToGrid w:val="0"/>
        </w:rPr>
      </w:pPr>
      <w:r w:rsidRPr="00031745">
        <w:rPr>
          <w:snapToGrid w:val="0"/>
        </w:rPr>
        <w:t xml:space="preserve">Odom BH, Lowe L, Yates C.  Peripheral Infiltration and Extravasation Injury Methodology: A Retrospective Study. </w:t>
      </w:r>
      <w:r w:rsidRPr="00031745">
        <w:rPr>
          <w:i/>
          <w:snapToGrid w:val="0"/>
        </w:rPr>
        <w:t xml:space="preserve">J Infus Nurs. </w:t>
      </w:r>
      <w:r w:rsidRPr="00031745">
        <w:rPr>
          <w:snapToGrid w:val="0"/>
        </w:rPr>
        <w:t>2018;41(4):247-252.</w:t>
      </w:r>
    </w:p>
    <w:p w14:paraId="36ACDA96" w14:textId="77777777" w:rsidR="007F04E2" w:rsidRPr="00031745" w:rsidRDefault="007F04E2" w:rsidP="00C60925">
      <w:pPr>
        <w:pStyle w:val="25TableFigureFooterMiddle"/>
        <w:numPr>
          <w:ilvl w:val="0"/>
          <w:numId w:val="8"/>
        </w:numPr>
        <w:ind w:leftChars="100" w:left="411" w:hangingChars="95" w:hanging="171"/>
        <w:jc w:val="both"/>
        <w:rPr>
          <w:snapToGrid w:val="0"/>
        </w:rPr>
      </w:pPr>
      <w:r w:rsidRPr="00031745">
        <w:rPr>
          <w:snapToGrid w:val="0"/>
        </w:rPr>
        <w:t xml:space="preserve">Peshiman N, Bruce-Hickman K, Crawford K, et al. Peripheral and Central/Intraosseous Vasoactive Infusions During and After Pediatric Critical Care Transport: Retrospective Cohort Study of Extravasation Injury. </w:t>
      </w:r>
      <w:r w:rsidRPr="00031745">
        <w:rPr>
          <w:i/>
          <w:snapToGrid w:val="0"/>
        </w:rPr>
        <w:t>Pediatr Crit Care Med.</w:t>
      </w:r>
      <w:r w:rsidRPr="00031745">
        <w:rPr>
          <w:snapToGrid w:val="0"/>
        </w:rPr>
        <w:t xml:space="preserve"> 2022;23(8):626-634.</w:t>
      </w:r>
    </w:p>
    <w:p w14:paraId="204A6C2F" w14:textId="77777777" w:rsidR="007F04E2" w:rsidRPr="00031745" w:rsidRDefault="007F04E2" w:rsidP="00C60925">
      <w:pPr>
        <w:pStyle w:val="25TableFigureFooterMiddle"/>
        <w:numPr>
          <w:ilvl w:val="0"/>
          <w:numId w:val="8"/>
        </w:numPr>
        <w:ind w:leftChars="100" w:left="411" w:hangingChars="95" w:hanging="171"/>
        <w:jc w:val="both"/>
        <w:rPr>
          <w:snapToGrid w:val="0"/>
        </w:rPr>
      </w:pPr>
      <w:r w:rsidRPr="00031745">
        <w:rPr>
          <w:snapToGrid w:val="0"/>
        </w:rPr>
        <w:t xml:space="preserve">Chen AC, Lv J, Lu P, zhang C. Application of wound bed preparation in the management of a severe extravasation injury in a neonate: A case study. </w:t>
      </w:r>
      <w:r w:rsidRPr="00031745">
        <w:rPr>
          <w:i/>
          <w:snapToGrid w:val="0"/>
        </w:rPr>
        <w:t>WCET Journal</w:t>
      </w:r>
      <w:r w:rsidRPr="00031745">
        <w:rPr>
          <w:snapToGrid w:val="0"/>
        </w:rPr>
        <w:t>. 2018;38(4):11-17.</w:t>
      </w:r>
    </w:p>
    <w:p w14:paraId="622509AF" w14:textId="77777777" w:rsidR="007F04E2" w:rsidRPr="00031745" w:rsidRDefault="007F04E2" w:rsidP="00C60925">
      <w:pPr>
        <w:pStyle w:val="25TableFigureFooterMiddle"/>
        <w:numPr>
          <w:ilvl w:val="0"/>
          <w:numId w:val="5"/>
        </w:numPr>
        <w:ind w:left="234" w:hangingChars="130" w:hanging="234"/>
        <w:jc w:val="both"/>
        <w:rPr>
          <w:snapToGrid w:val="0"/>
        </w:rPr>
      </w:pPr>
      <w:r w:rsidRPr="00031745">
        <w:rPr>
          <w:snapToGrid w:val="0"/>
        </w:rPr>
        <w:t>Pressure-Medical Devices</w:t>
      </w:r>
    </w:p>
    <w:p w14:paraId="41F16AC5" w14:textId="77777777" w:rsidR="00F72DBD" w:rsidRPr="007F04E2" w:rsidRDefault="007F04E2" w:rsidP="00C60925">
      <w:pPr>
        <w:pStyle w:val="26TableFigureFooterBack"/>
        <w:jc w:val="both"/>
        <w:rPr>
          <w:snapToGrid w:val="0"/>
        </w:rPr>
      </w:pPr>
      <w:r w:rsidRPr="00031745">
        <w:rPr>
          <w:snapToGrid w:val="0"/>
        </w:rPr>
        <w:t xml:space="preserve">Eltayeb, H. and Kassem, R. Negative-pressure wound therapy in pediatric extremity trauma: a single-institution experience. </w:t>
      </w:r>
      <w:r w:rsidRPr="00031745">
        <w:rPr>
          <w:i/>
          <w:snapToGrid w:val="0"/>
        </w:rPr>
        <w:t>The Egyptian Journal of Surgery</w:t>
      </w:r>
      <w:r w:rsidRPr="00031745">
        <w:rPr>
          <w:snapToGrid w:val="0"/>
        </w:rPr>
        <w:t xml:space="preserve"> 2017;36(3</w:t>
      </w:r>
      <w:proofErr w:type="gramStart"/>
      <w:r w:rsidRPr="00031745">
        <w:rPr>
          <w:snapToGrid w:val="0"/>
        </w:rPr>
        <w:t>):p</w:t>
      </w:r>
      <w:proofErr w:type="gramEnd"/>
      <w:r w:rsidRPr="00031745">
        <w:rPr>
          <w:snapToGrid w:val="0"/>
        </w:rPr>
        <w:t xml:space="preserve"> 260-264. https://doi.org/10.4103/ejs.ejs_20_17</w:t>
      </w:r>
      <w:r w:rsidRPr="007F04E2">
        <w:rPr>
          <w:snapToGrid w:val="0"/>
        </w:rPr>
        <w:t xml:space="preserve"> </w:t>
      </w:r>
    </w:p>
    <w:sectPr w:rsidR="00F72DBD" w:rsidRPr="007F04E2" w:rsidSect="00554B19">
      <w:pgSz w:w="11907" w:h="16839" w:code="9"/>
      <w:pgMar w:top="850" w:right="850" w:bottom="850" w:left="850" w:header="709" w:footer="709" w:gutter="0"/>
      <w:pgNumType w:start="1"/>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39351" w14:textId="77777777" w:rsidR="00C30F7D" w:rsidRDefault="00C30F7D" w:rsidP="00C60925">
      <w:r>
        <w:separator/>
      </w:r>
    </w:p>
  </w:endnote>
  <w:endnote w:type="continuationSeparator" w:id="0">
    <w:p w14:paraId="7BD0FA41" w14:textId="77777777" w:rsidR="00C30F7D" w:rsidRDefault="00C30F7D" w:rsidP="00C60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Univers">
    <w:charset w:val="00"/>
    <w:family w:val="swiss"/>
    <w:pitch w:val="variable"/>
    <w:sig w:usb0="80000287"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83CA6" w14:textId="77777777" w:rsidR="00C30F7D" w:rsidRDefault="00C30F7D" w:rsidP="00C60925">
      <w:r>
        <w:separator/>
      </w:r>
    </w:p>
  </w:footnote>
  <w:footnote w:type="continuationSeparator" w:id="0">
    <w:p w14:paraId="1E0154B0" w14:textId="77777777" w:rsidR="00C30F7D" w:rsidRDefault="00C30F7D" w:rsidP="00C609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0848719A"/>
    <w:multiLevelType w:val="multilevel"/>
    <w:tmpl w:val="D3A29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FE22E0F"/>
    <w:multiLevelType w:val="hybridMultilevel"/>
    <w:tmpl w:val="70EEEA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6772419"/>
    <w:multiLevelType w:val="hybridMultilevel"/>
    <w:tmpl w:val="3124A338"/>
    <w:lvl w:ilvl="0" w:tplc="48067738">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85853B3"/>
    <w:multiLevelType w:val="hybridMultilevel"/>
    <w:tmpl w:val="5DB0C698"/>
    <w:lvl w:ilvl="0" w:tplc="48067738">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74D75D1"/>
    <w:multiLevelType w:val="hybridMultilevel"/>
    <w:tmpl w:val="4EF470B2"/>
    <w:lvl w:ilvl="0" w:tplc="48067738">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EB87835"/>
    <w:multiLevelType w:val="multilevel"/>
    <w:tmpl w:val="C1987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B75039B"/>
    <w:multiLevelType w:val="multilevel"/>
    <w:tmpl w:val="20FCB9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78034431">
    <w:abstractNumId w:val="0"/>
  </w:num>
  <w:num w:numId="2" w16cid:durableId="1443383575">
    <w:abstractNumId w:val="1"/>
  </w:num>
  <w:num w:numId="3" w16cid:durableId="207661">
    <w:abstractNumId w:val="6"/>
  </w:num>
  <w:num w:numId="4" w16cid:durableId="1931237407">
    <w:abstractNumId w:val="7"/>
  </w:num>
  <w:num w:numId="5" w16cid:durableId="1106652914">
    <w:abstractNumId w:val="2"/>
  </w:num>
  <w:num w:numId="6" w16cid:durableId="1825588077">
    <w:abstractNumId w:val="4"/>
  </w:num>
  <w:num w:numId="7" w16cid:durableId="1967150977">
    <w:abstractNumId w:val="5"/>
  </w:num>
  <w:num w:numId="8" w16cid:durableId="14020999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420"/>
  <w:autoHyphenation/>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04E2"/>
    <w:rsid w:val="00031745"/>
    <w:rsid w:val="000D2162"/>
    <w:rsid w:val="001F5661"/>
    <w:rsid w:val="003D4616"/>
    <w:rsid w:val="00404271"/>
    <w:rsid w:val="00554B19"/>
    <w:rsid w:val="0070444E"/>
    <w:rsid w:val="007F04E2"/>
    <w:rsid w:val="008B2FBC"/>
    <w:rsid w:val="008B7FC6"/>
    <w:rsid w:val="00913C11"/>
    <w:rsid w:val="00921631"/>
    <w:rsid w:val="009626B1"/>
    <w:rsid w:val="009721D9"/>
    <w:rsid w:val="009F4534"/>
    <w:rsid w:val="00AE050F"/>
    <w:rsid w:val="00B74951"/>
    <w:rsid w:val="00BE760D"/>
    <w:rsid w:val="00C30F7D"/>
    <w:rsid w:val="00C60925"/>
    <w:rsid w:val="00CE069D"/>
    <w:rsid w:val="00D106D4"/>
    <w:rsid w:val="00D4305C"/>
    <w:rsid w:val="00D87277"/>
    <w:rsid w:val="00E65302"/>
    <w:rsid w:val="00F72DBD"/>
    <w:rsid w:val="00F74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D7920A"/>
  <w15:docId w15:val="{B0692C4E-1AB9-44A4-8A63-E9ED0531F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04E2"/>
    <w:rPr>
      <w:rFonts w:ascii="Calibri" w:eastAsiaTheme="minorEastAsia" w:hAnsi="Calibri" w:cs="Calibri"/>
      <w:sz w:val="24"/>
      <w:szCs w:val="24"/>
      <w:lang w:eastAsia="en-US"/>
    </w:rPr>
  </w:style>
  <w:style w:type="paragraph" w:styleId="1">
    <w:name w:val="heading 1"/>
    <w:basedOn w:val="a"/>
    <w:next w:val="a"/>
    <w:link w:val="10"/>
    <w:qFormat/>
    <w:rsid w:val="003D4616"/>
    <w:pPr>
      <w:keepNext/>
      <w:keepLines/>
      <w:spacing w:before="340" w:after="330" w:line="578" w:lineRule="auto"/>
      <w:outlineLvl w:val="0"/>
    </w:pPr>
    <w:rPr>
      <w:b/>
      <w:bCs/>
      <w:kern w:val="44"/>
      <w:sz w:val="44"/>
      <w:szCs w:val="44"/>
    </w:rPr>
  </w:style>
  <w:style w:type="paragraph" w:styleId="2">
    <w:name w:val="heading 2"/>
    <w:basedOn w:val="a"/>
    <w:next w:val="a"/>
    <w:link w:val="20"/>
    <w:qFormat/>
    <w:rsid w:val="003D4616"/>
    <w:pPr>
      <w:keepNext/>
      <w:spacing w:before="360" w:after="60" w:line="360" w:lineRule="auto"/>
      <w:ind w:right="567"/>
      <w:contextualSpacing/>
      <w:outlineLvl w:val="1"/>
    </w:pPr>
    <w:rPr>
      <w:rFonts w:cs="Arial"/>
      <w:b/>
      <w:bCs/>
      <w:i/>
      <w:iCs/>
      <w:szCs w:val="28"/>
    </w:rPr>
  </w:style>
  <w:style w:type="paragraph" w:styleId="3">
    <w:name w:val="heading 3"/>
    <w:basedOn w:val="a"/>
    <w:next w:val="a"/>
    <w:link w:val="30"/>
    <w:unhideWhenUsed/>
    <w:qFormat/>
    <w:rsid w:val="003D4616"/>
    <w:pPr>
      <w:keepNext/>
      <w:keepLines/>
      <w:spacing w:before="260" w:after="260" w:line="416" w:lineRule="auto"/>
      <w:outlineLvl w:val="2"/>
    </w:pPr>
    <w:rPr>
      <w:b/>
      <w:bCs/>
      <w:sz w:val="32"/>
      <w:szCs w:val="32"/>
    </w:rPr>
  </w:style>
  <w:style w:type="paragraph" w:styleId="4">
    <w:name w:val="heading 4"/>
    <w:basedOn w:val="a"/>
    <w:next w:val="a"/>
    <w:link w:val="40"/>
    <w:rsid w:val="003D4616"/>
    <w:pPr>
      <w:spacing w:before="360"/>
      <w:outlineLvl w:val="3"/>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Affiliation">
    <w:name w:val="04_Affiliation"/>
    <w:basedOn w:val="a"/>
    <w:qFormat/>
    <w:rsid w:val="003D4616"/>
    <w:pPr>
      <w:suppressAutoHyphens/>
      <w:adjustRightInd w:val="0"/>
      <w:snapToGrid w:val="0"/>
      <w:spacing w:before="60" w:after="60" w:line="264" w:lineRule="auto"/>
      <w:ind w:hangingChars="30" w:hanging="62"/>
    </w:pPr>
    <w:rPr>
      <w:rFonts w:ascii="Times New Roman" w:eastAsia="Times New Roman" w:hAnsi="Times New Roman"/>
      <w:szCs w:val="18"/>
      <w:lang w:val="en-GB"/>
    </w:rPr>
  </w:style>
  <w:style w:type="paragraph" w:customStyle="1" w:styleId="01ArticleType">
    <w:name w:val="01_ArticleType"/>
    <w:basedOn w:val="04Affiliation"/>
    <w:qFormat/>
    <w:rsid w:val="003D4616"/>
    <w:pPr>
      <w:spacing w:before="320" w:after="40"/>
      <w:ind w:firstLine="0"/>
    </w:pPr>
  </w:style>
  <w:style w:type="paragraph" w:customStyle="1" w:styleId="02ArticleTitle">
    <w:name w:val="02_ArticleTitle"/>
    <w:basedOn w:val="a"/>
    <w:qFormat/>
    <w:rsid w:val="003D4616"/>
    <w:pPr>
      <w:suppressAutoHyphens/>
      <w:adjustRightInd w:val="0"/>
      <w:snapToGrid w:val="0"/>
      <w:spacing w:before="80" w:after="240" w:line="264" w:lineRule="auto"/>
    </w:pPr>
    <w:rPr>
      <w:rFonts w:ascii="Arial" w:eastAsia="Arial" w:hAnsi="Arial" w:cs="Arial"/>
      <w:b/>
      <w:bCs/>
      <w:color w:val="006690"/>
      <w:sz w:val="36"/>
      <w:szCs w:val="36"/>
      <w:lang w:val="en-GB"/>
    </w:rPr>
  </w:style>
  <w:style w:type="paragraph" w:customStyle="1" w:styleId="03AuthorName">
    <w:name w:val="03_AuthorName"/>
    <w:basedOn w:val="a"/>
    <w:qFormat/>
    <w:rsid w:val="003D4616"/>
    <w:pPr>
      <w:suppressAutoHyphens/>
      <w:adjustRightInd w:val="0"/>
      <w:snapToGrid w:val="0"/>
      <w:spacing w:before="240" w:after="280"/>
    </w:pPr>
    <w:rPr>
      <w:rFonts w:ascii="Times New Roman" w:eastAsia="Times New Roman" w:hAnsi="Times New Roman"/>
      <w:b/>
      <w:sz w:val="28"/>
      <w:lang w:val="en-GB"/>
    </w:rPr>
  </w:style>
  <w:style w:type="paragraph" w:customStyle="1" w:styleId="05BlankLine">
    <w:name w:val="05_BlankLine"/>
    <w:basedOn w:val="04Affiliation"/>
    <w:qFormat/>
    <w:rsid w:val="003D4616"/>
    <w:pPr>
      <w:spacing w:before="0" w:after="360"/>
      <w:ind w:firstLine="0"/>
    </w:pPr>
    <w:rPr>
      <w:rFonts w:cs="Times New Roman"/>
      <w:snapToGrid w:val="0"/>
      <w:szCs w:val="21"/>
    </w:rPr>
  </w:style>
  <w:style w:type="paragraph" w:customStyle="1" w:styleId="06Abatract">
    <w:name w:val="06_Abatract"/>
    <w:basedOn w:val="04Affiliation"/>
    <w:qFormat/>
    <w:rsid w:val="003D4616"/>
    <w:pPr>
      <w:spacing w:before="320" w:after="100"/>
      <w:ind w:firstLineChars="0" w:firstLine="0"/>
    </w:pPr>
    <w:rPr>
      <w:b/>
      <w:snapToGrid w:val="0"/>
      <w:color w:val="006690"/>
      <w:sz w:val="28"/>
      <w:szCs w:val="28"/>
    </w:rPr>
  </w:style>
  <w:style w:type="paragraph" w:customStyle="1" w:styleId="07AbatractContent">
    <w:name w:val="07_AbatractContent"/>
    <w:basedOn w:val="a"/>
    <w:qFormat/>
    <w:rsid w:val="003D4616"/>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3D4616"/>
    <w:pPr>
      <w:spacing w:before="320" w:after="100"/>
      <w:ind w:firstLine="0"/>
    </w:pPr>
    <w:rPr>
      <w:rFonts w:cs="Times New Roman"/>
      <w:b/>
      <w:snapToGrid w:val="0"/>
      <w:color w:val="006690"/>
      <w:sz w:val="28"/>
      <w:szCs w:val="21"/>
    </w:rPr>
  </w:style>
  <w:style w:type="paragraph" w:customStyle="1" w:styleId="09KeywordsContent">
    <w:name w:val="09_KeywordsContent"/>
    <w:basedOn w:val="a"/>
    <w:qFormat/>
    <w:rsid w:val="003D4616"/>
    <w:pPr>
      <w:suppressAutoHyphens/>
      <w:adjustRightInd w:val="0"/>
      <w:snapToGrid w:val="0"/>
      <w:spacing w:before="100" w:after="320" w:line="264" w:lineRule="auto"/>
    </w:pPr>
    <w:rPr>
      <w:rFonts w:ascii="Times New Roman" w:eastAsia="Times New Roman" w:hAnsi="Times New Roman"/>
      <w:sz w:val="20"/>
      <w:szCs w:val="20"/>
    </w:rPr>
  </w:style>
  <w:style w:type="character" w:customStyle="1" w:styleId="20">
    <w:name w:val="标题 2 字符"/>
    <w:basedOn w:val="a0"/>
    <w:link w:val="2"/>
    <w:rsid w:val="003D4616"/>
    <w:rPr>
      <w:rFonts w:asciiTheme="minorHAnsi" w:eastAsiaTheme="minorEastAsia" w:hAnsiTheme="minorHAnsi" w:cs="Arial"/>
      <w:b/>
      <w:bCs/>
      <w:i/>
      <w:iCs/>
      <w:kern w:val="2"/>
      <w:sz w:val="21"/>
      <w:szCs w:val="28"/>
    </w:rPr>
  </w:style>
  <w:style w:type="paragraph" w:customStyle="1" w:styleId="10Heading1">
    <w:name w:val="10_Heading1"/>
    <w:basedOn w:val="2"/>
    <w:qFormat/>
    <w:rsid w:val="003D4616"/>
    <w:pPr>
      <w:keepNext w:val="0"/>
      <w:suppressAutoHyphens/>
      <w:adjustRightInd w:val="0"/>
      <w:snapToGrid w:val="0"/>
      <w:spacing w:after="160" w:line="264" w:lineRule="auto"/>
      <w:ind w:right="0" w:hangingChars="100" w:hanging="100"/>
      <w:contextualSpacing w:val="0"/>
    </w:pPr>
    <w:rPr>
      <w:rFonts w:ascii="Times New Roman" w:eastAsia="Times New Roman" w:hAnsi="Times New Roman" w:cs="Times New Roman"/>
      <w:bCs w:val="0"/>
      <w:i w:val="0"/>
      <w:iCs w:val="0"/>
      <w:color w:val="006690"/>
      <w:sz w:val="28"/>
      <w:szCs w:val="32"/>
    </w:rPr>
  </w:style>
  <w:style w:type="character" w:customStyle="1" w:styleId="30">
    <w:name w:val="标题 3 字符"/>
    <w:basedOn w:val="a0"/>
    <w:link w:val="3"/>
    <w:rsid w:val="003D4616"/>
    <w:rPr>
      <w:rFonts w:asciiTheme="minorHAnsi" w:eastAsiaTheme="minorEastAsia" w:hAnsiTheme="minorHAnsi" w:cstheme="minorBidi"/>
      <w:b/>
      <w:bCs/>
      <w:kern w:val="2"/>
      <w:sz w:val="32"/>
      <w:szCs w:val="32"/>
    </w:rPr>
  </w:style>
  <w:style w:type="paragraph" w:customStyle="1" w:styleId="11Heading2">
    <w:name w:val="11_Heading2"/>
    <w:basedOn w:val="3"/>
    <w:qFormat/>
    <w:rsid w:val="003D4616"/>
    <w:pPr>
      <w:keepNext w:val="0"/>
      <w:keepLines w:val="0"/>
      <w:suppressAutoHyphens/>
      <w:adjustRightInd w:val="0"/>
      <w:snapToGrid w:val="0"/>
      <w:spacing w:before="280" w:after="160" w:line="264" w:lineRule="auto"/>
      <w:ind w:hangingChars="180" w:hanging="180"/>
    </w:pPr>
    <w:rPr>
      <w:rFonts w:ascii="Times New Roman" w:eastAsia="Times New Roman" w:hAnsi="Times New Roman" w:cs="Times New Roman"/>
      <w:color w:val="006690"/>
      <w:sz w:val="24"/>
      <w:szCs w:val="28"/>
    </w:rPr>
  </w:style>
  <w:style w:type="character" w:customStyle="1" w:styleId="40">
    <w:name w:val="标题 4 字符"/>
    <w:basedOn w:val="a0"/>
    <w:link w:val="4"/>
    <w:rsid w:val="003D4616"/>
    <w:rPr>
      <w:rFonts w:asciiTheme="minorHAnsi" w:eastAsiaTheme="minorEastAsia" w:hAnsiTheme="minorHAnsi" w:cstheme="minorBidi"/>
      <w:bCs/>
      <w:kern w:val="2"/>
      <w:sz w:val="21"/>
      <w:szCs w:val="28"/>
    </w:rPr>
  </w:style>
  <w:style w:type="paragraph" w:customStyle="1" w:styleId="12Heading3">
    <w:name w:val="12_Heading3"/>
    <w:basedOn w:val="4"/>
    <w:qFormat/>
    <w:rsid w:val="003D4616"/>
    <w:pPr>
      <w:suppressAutoHyphens/>
      <w:adjustRightInd w:val="0"/>
      <w:snapToGrid w:val="0"/>
      <w:spacing w:before="240" w:after="80" w:line="264" w:lineRule="auto"/>
      <w:ind w:hangingChars="250" w:hanging="250"/>
    </w:pPr>
    <w:rPr>
      <w:rFonts w:ascii="Times New Roman" w:hAnsi="Times New Roman" w:cs="Times New Roman"/>
      <w:b/>
      <w:color w:val="006690"/>
      <w:sz w:val="22"/>
    </w:rPr>
  </w:style>
  <w:style w:type="paragraph" w:customStyle="1" w:styleId="13Text">
    <w:name w:val="13_Text"/>
    <w:basedOn w:val="a"/>
    <w:qFormat/>
    <w:rsid w:val="003D4616"/>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3D4616"/>
    <w:pPr>
      <w:adjustRightInd w:val="0"/>
      <w:snapToGrid w:val="0"/>
      <w:spacing w:before="500" w:after="100"/>
      <w:jc w:val="center"/>
    </w:pPr>
    <w:rPr>
      <w:rFonts w:eastAsia="Times New Roman"/>
      <w:noProof/>
    </w:rPr>
  </w:style>
  <w:style w:type="paragraph" w:customStyle="1" w:styleId="15FigureCaptionSingleLine">
    <w:name w:val="15_FigureCaption_SingleLine"/>
    <w:basedOn w:val="a"/>
    <w:qFormat/>
    <w:rsid w:val="003D4616"/>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3D4616"/>
    <w:pPr>
      <w:jc w:val="both"/>
    </w:pPr>
  </w:style>
  <w:style w:type="paragraph" w:customStyle="1" w:styleId="17TableCaptionSingleLine">
    <w:name w:val="17_TableCaption_SingleLine"/>
    <w:basedOn w:val="a"/>
    <w:qFormat/>
    <w:rsid w:val="003D4616"/>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3D4616"/>
    <w:pPr>
      <w:jc w:val="both"/>
    </w:pPr>
  </w:style>
  <w:style w:type="paragraph" w:customStyle="1" w:styleId="19TableHead">
    <w:name w:val="19_TableHead"/>
    <w:basedOn w:val="a"/>
    <w:qFormat/>
    <w:rsid w:val="003D4616"/>
    <w:pPr>
      <w:tabs>
        <w:tab w:val="left" w:pos="4680"/>
      </w:tabs>
      <w:adjustRightInd w:val="0"/>
      <w:snapToGrid w:val="0"/>
      <w:spacing w:before="120" w:after="160" w:line="264" w:lineRule="auto"/>
    </w:pPr>
    <w:rPr>
      <w:rFonts w:ascii="Times New Roman" w:eastAsia="Times New Roman" w:hAnsi="Times New Roman"/>
      <w:b/>
      <w:sz w:val="18"/>
    </w:rPr>
  </w:style>
  <w:style w:type="paragraph" w:customStyle="1" w:styleId="20TableBodyFront">
    <w:name w:val="20_TableBody_Front"/>
    <w:basedOn w:val="01ArticleType"/>
    <w:qFormat/>
    <w:rsid w:val="003D4616"/>
    <w:pPr>
      <w:spacing w:before="120" w:after="60"/>
      <w:ind w:firstLineChars="0"/>
    </w:pPr>
    <w:rPr>
      <w:rFonts w:eastAsia="宋体"/>
      <w:snapToGrid w:val="0"/>
      <w:sz w:val="18"/>
    </w:rPr>
  </w:style>
  <w:style w:type="paragraph" w:customStyle="1" w:styleId="21TableBodyMiddle">
    <w:name w:val="21_TableBody_Middle"/>
    <w:basedOn w:val="13Text"/>
    <w:qFormat/>
    <w:rsid w:val="003D4616"/>
    <w:pPr>
      <w:spacing w:before="60" w:after="60"/>
      <w:ind w:firstLineChars="0" w:firstLine="0"/>
    </w:pPr>
    <w:rPr>
      <w:sz w:val="18"/>
      <w:szCs w:val="18"/>
      <w:lang w:val="en-GB"/>
    </w:rPr>
  </w:style>
  <w:style w:type="paragraph" w:customStyle="1" w:styleId="22TableBodyBack">
    <w:name w:val="22_TableBody_Back"/>
    <w:basedOn w:val="21TableBodyMiddle"/>
    <w:qFormat/>
    <w:rsid w:val="003D4616"/>
    <w:pPr>
      <w:spacing w:after="160"/>
    </w:pPr>
    <w:rPr>
      <w:snapToGrid w:val="0"/>
    </w:rPr>
  </w:style>
  <w:style w:type="paragraph" w:customStyle="1" w:styleId="23TableFigureFooter">
    <w:name w:val="23_TableFigureFooter"/>
    <w:basedOn w:val="a"/>
    <w:qFormat/>
    <w:rsid w:val="003D4616"/>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3D4616"/>
    <w:pPr>
      <w:spacing w:after="0"/>
    </w:pPr>
  </w:style>
  <w:style w:type="paragraph" w:customStyle="1" w:styleId="25TableFigureFooterMiddle">
    <w:name w:val="25_TableFigureFooter_Middle"/>
    <w:basedOn w:val="23TableFigureFooter"/>
    <w:qFormat/>
    <w:rsid w:val="003D4616"/>
    <w:pPr>
      <w:spacing w:before="0" w:after="0"/>
    </w:pPr>
  </w:style>
  <w:style w:type="paragraph" w:customStyle="1" w:styleId="26TableFigureFooterBack">
    <w:name w:val="26_TableFigureFooter_Back"/>
    <w:basedOn w:val="23TableFigureFooter"/>
    <w:qFormat/>
    <w:rsid w:val="003D4616"/>
    <w:pPr>
      <w:spacing w:before="0"/>
    </w:pPr>
  </w:style>
  <w:style w:type="paragraph" w:customStyle="1" w:styleId="28FormulaWithNumber">
    <w:name w:val="28_Formula_WithNumber"/>
    <w:basedOn w:val="a"/>
    <w:qFormat/>
    <w:rsid w:val="003D4616"/>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3D4616"/>
    <w:pPr>
      <w:jc w:val="center"/>
    </w:pPr>
  </w:style>
  <w:style w:type="paragraph" w:customStyle="1" w:styleId="29References">
    <w:name w:val="29_References"/>
    <w:basedOn w:val="a"/>
    <w:qFormat/>
    <w:rsid w:val="003D4616"/>
    <w:pPr>
      <w:numPr>
        <w:numId w:val="1"/>
      </w:numPr>
      <w:tabs>
        <w:tab w:val="left" w:pos="525"/>
      </w:tabs>
      <w:adjustRightInd w:val="0"/>
      <w:snapToGrid w:val="0"/>
      <w:spacing w:after="160" w:line="264" w:lineRule="auto"/>
    </w:pPr>
    <w:rPr>
      <w:rFonts w:ascii="Times New Roman" w:eastAsia="Times New Roman" w:hAnsi="Times New Roman"/>
      <w:sz w:val="18"/>
      <w:szCs w:val="18"/>
    </w:rPr>
  </w:style>
  <w:style w:type="paragraph" w:customStyle="1" w:styleId="30Footnote">
    <w:name w:val="30_Footnote"/>
    <w:basedOn w:val="13Text"/>
    <w:qFormat/>
    <w:rsid w:val="003D4616"/>
    <w:pPr>
      <w:ind w:firstLineChars="0" w:firstLine="0"/>
    </w:pPr>
    <w:rPr>
      <w:sz w:val="15"/>
    </w:rPr>
  </w:style>
  <w:style w:type="paragraph" w:customStyle="1" w:styleId="31TextQuote">
    <w:name w:val="31_TextQuote"/>
    <w:basedOn w:val="13Text"/>
    <w:qFormat/>
    <w:rsid w:val="003D4616"/>
    <w:pPr>
      <w:ind w:leftChars="100" w:left="100" w:firstLineChars="0" w:firstLine="0"/>
    </w:pPr>
  </w:style>
  <w:style w:type="paragraph" w:customStyle="1" w:styleId="32PageNumber">
    <w:name w:val="32_PageNumber"/>
    <w:basedOn w:val="13Text"/>
    <w:qFormat/>
    <w:rsid w:val="003D4616"/>
    <w:pPr>
      <w:spacing w:before="400" w:line="240" w:lineRule="auto"/>
      <w:ind w:firstLineChars="0" w:firstLine="0"/>
      <w:jc w:val="center"/>
    </w:pPr>
    <w:rPr>
      <w:rFonts w:cs="Times New Roman"/>
      <w:snapToGrid w:val="0"/>
      <w:spacing w:val="-2"/>
      <w:sz w:val="18"/>
    </w:rPr>
  </w:style>
  <w:style w:type="paragraph" w:customStyle="1" w:styleId="33EmailAddress">
    <w:name w:val="33_EmailAddress"/>
    <w:basedOn w:val="13Text"/>
    <w:qFormat/>
    <w:rsid w:val="003D4616"/>
    <w:pPr>
      <w:spacing w:before="80" w:line="312" w:lineRule="auto"/>
      <w:ind w:firstLineChars="0" w:firstLine="0"/>
    </w:pPr>
    <w:rPr>
      <w:sz w:val="18"/>
    </w:rPr>
  </w:style>
  <w:style w:type="paragraph" w:customStyle="1" w:styleId="34Abbreviations">
    <w:name w:val="34_Abbreviations"/>
    <w:basedOn w:val="13Text"/>
    <w:qFormat/>
    <w:rsid w:val="003D4616"/>
    <w:pPr>
      <w:suppressAutoHyphens/>
      <w:ind w:firstLineChars="0" w:firstLine="0"/>
    </w:pPr>
    <w:rPr>
      <w:rFonts w:eastAsia="宋体"/>
      <w:snapToGrid w:val="0"/>
    </w:rPr>
  </w:style>
  <w:style w:type="paragraph" w:customStyle="1" w:styleId="35Biography">
    <w:name w:val="35_Biography"/>
    <w:basedOn w:val="01ArticleType"/>
    <w:qFormat/>
    <w:rsid w:val="003D4616"/>
    <w:pPr>
      <w:suppressAutoHyphens w:val="0"/>
      <w:spacing w:before="0" w:after="100"/>
      <w:ind w:firstLineChars="0"/>
      <w:jc w:val="both"/>
    </w:pPr>
    <w:rPr>
      <w:rFonts w:eastAsia="宋体"/>
      <w:snapToGrid w:val="0"/>
      <w:sz w:val="18"/>
    </w:rPr>
  </w:style>
  <w:style w:type="paragraph" w:customStyle="1" w:styleId="36ResearchField">
    <w:name w:val="36_Research_Field"/>
    <w:basedOn w:val="13Text"/>
    <w:qFormat/>
    <w:rsid w:val="003D4616"/>
    <w:rPr>
      <w:rFonts w:cs="Times New Roman"/>
      <w:snapToGrid w:val="0"/>
      <w:sz w:val="18"/>
    </w:rPr>
  </w:style>
  <w:style w:type="character" w:customStyle="1" w:styleId="10">
    <w:name w:val="标题 1 字符"/>
    <w:basedOn w:val="a0"/>
    <w:link w:val="1"/>
    <w:rsid w:val="003D4616"/>
    <w:rPr>
      <w:rFonts w:asciiTheme="minorHAnsi" w:eastAsiaTheme="minorEastAsia" w:hAnsiTheme="minorHAnsi" w:cstheme="minorBidi"/>
      <w:b/>
      <w:bCs/>
      <w:kern w:val="44"/>
      <w:sz w:val="44"/>
      <w:szCs w:val="44"/>
    </w:rPr>
  </w:style>
  <w:style w:type="character" w:styleId="a3">
    <w:name w:val="Hyperlink"/>
    <w:basedOn w:val="a0"/>
    <w:uiPriority w:val="99"/>
    <w:rsid w:val="003D4616"/>
    <w:rPr>
      <w:color w:val="auto"/>
      <w:sz w:val="16"/>
      <w:u w:val="none"/>
    </w:rPr>
  </w:style>
  <w:style w:type="paragraph" w:styleId="a4">
    <w:name w:val="Plain Text"/>
    <w:basedOn w:val="a"/>
    <w:link w:val="a5"/>
    <w:uiPriority w:val="99"/>
    <w:semiHidden/>
    <w:unhideWhenUsed/>
    <w:rsid w:val="003D4616"/>
    <w:rPr>
      <w:rFonts w:ascii="宋体" w:eastAsia="宋体" w:hAnsi="Courier New" w:cs="Courier New"/>
    </w:rPr>
  </w:style>
  <w:style w:type="character" w:customStyle="1" w:styleId="a5">
    <w:name w:val="纯文本 字符"/>
    <w:basedOn w:val="a0"/>
    <w:link w:val="a4"/>
    <w:uiPriority w:val="99"/>
    <w:semiHidden/>
    <w:rsid w:val="003D4616"/>
    <w:rPr>
      <w:rFonts w:ascii="宋体" w:hAnsi="Courier New" w:cs="Courier New"/>
      <w:kern w:val="2"/>
      <w:sz w:val="21"/>
      <w:szCs w:val="21"/>
    </w:rPr>
  </w:style>
  <w:style w:type="character" w:styleId="a6">
    <w:name w:val="FollowedHyperlink"/>
    <w:basedOn w:val="a0"/>
    <w:uiPriority w:val="99"/>
    <w:semiHidden/>
    <w:unhideWhenUsed/>
    <w:rsid w:val="003D4616"/>
    <w:rPr>
      <w:color w:val="800080" w:themeColor="followedHyperlink"/>
      <w:u w:val="single"/>
    </w:rPr>
  </w:style>
  <w:style w:type="paragraph" w:styleId="a7">
    <w:name w:val="footnote text"/>
    <w:basedOn w:val="a"/>
    <w:link w:val="a8"/>
    <w:semiHidden/>
    <w:rsid w:val="003D4616"/>
    <w:rPr>
      <w:rFonts w:ascii="Univers" w:hAnsi="Univers"/>
      <w:sz w:val="20"/>
      <w:szCs w:val="20"/>
      <w:lang w:val="en-GB"/>
    </w:rPr>
  </w:style>
  <w:style w:type="character" w:customStyle="1" w:styleId="a8">
    <w:name w:val="脚注文本 字符"/>
    <w:basedOn w:val="a0"/>
    <w:link w:val="a7"/>
    <w:semiHidden/>
    <w:rsid w:val="003D4616"/>
    <w:rPr>
      <w:rFonts w:ascii="Univers" w:eastAsiaTheme="minorEastAsia" w:hAnsi="Univers" w:cstheme="minorBidi"/>
      <w:lang w:val="en-GB" w:eastAsia="en-US"/>
    </w:rPr>
  </w:style>
  <w:style w:type="character" w:styleId="a9">
    <w:name w:val="footnote reference"/>
    <w:basedOn w:val="a0"/>
    <w:uiPriority w:val="99"/>
    <w:semiHidden/>
    <w:unhideWhenUsed/>
    <w:rsid w:val="003D4616"/>
    <w:rPr>
      <w:vertAlign w:val="superscript"/>
    </w:rPr>
  </w:style>
  <w:style w:type="paragraph" w:styleId="aa">
    <w:name w:val="List Paragraph"/>
    <w:basedOn w:val="a"/>
    <w:uiPriority w:val="34"/>
    <w:qFormat/>
    <w:rsid w:val="003D4616"/>
    <w:pPr>
      <w:ind w:firstLineChars="200" w:firstLine="420"/>
    </w:pPr>
  </w:style>
  <w:style w:type="paragraph" w:customStyle="1" w:styleId="11">
    <w:name w:val="列出段落1"/>
    <w:basedOn w:val="a"/>
    <w:uiPriority w:val="34"/>
    <w:qFormat/>
    <w:rsid w:val="003D4616"/>
    <w:pPr>
      <w:suppressAutoHyphens/>
      <w:ind w:firstLineChars="200" w:firstLine="420"/>
    </w:pPr>
    <w:rPr>
      <w:rFonts w:ascii="Times New Roman" w:eastAsia="Lucida Sans Unicode" w:hAnsi="Times New Roman" w:cs="Times New Roman"/>
      <w:szCs w:val="20"/>
    </w:rPr>
  </w:style>
  <w:style w:type="paragraph" w:styleId="ab">
    <w:name w:val="Balloon Text"/>
    <w:basedOn w:val="a"/>
    <w:link w:val="ac"/>
    <w:uiPriority w:val="99"/>
    <w:semiHidden/>
    <w:unhideWhenUsed/>
    <w:rsid w:val="003D4616"/>
    <w:rPr>
      <w:sz w:val="18"/>
      <w:szCs w:val="18"/>
    </w:rPr>
  </w:style>
  <w:style w:type="character" w:customStyle="1" w:styleId="ac">
    <w:name w:val="批注框文本 字符"/>
    <w:basedOn w:val="a0"/>
    <w:link w:val="ab"/>
    <w:uiPriority w:val="99"/>
    <w:semiHidden/>
    <w:rsid w:val="003D4616"/>
    <w:rPr>
      <w:rFonts w:asciiTheme="minorHAnsi" w:eastAsiaTheme="minorEastAsia" w:hAnsiTheme="minorHAnsi" w:cstheme="minorBidi"/>
      <w:kern w:val="2"/>
      <w:sz w:val="18"/>
      <w:szCs w:val="18"/>
    </w:rPr>
  </w:style>
  <w:style w:type="paragraph" w:styleId="ad">
    <w:name w:val="annotation text"/>
    <w:basedOn w:val="a"/>
    <w:link w:val="ae"/>
    <w:uiPriority w:val="99"/>
    <w:unhideWhenUsed/>
    <w:rsid w:val="003D4616"/>
  </w:style>
  <w:style w:type="character" w:customStyle="1" w:styleId="ae">
    <w:name w:val="批注文字 字符"/>
    <w:basedOn w:val="a0"/>
    <w:link w:val="ad"/>
    <w:uiPriority w:val="99"/>
    <w:rsid w:val="003D4616"/>
    <w:rPr>
      <w:rFonts w:asciiTheme="minorHAnsi" w:eastAsiaTheme="minorEastAsia" w:hAnsiTheme="minorHAnsi" w:cstheme="minorBidi"/>
      <w:kern w:val="2"/>
      <w:sz w:val="21"/>
      <w:szCs w:val="21"/>
    </w:rPr>
  </w:style>
  <w:style w:type="character" w:styleId="af">
    <w:name w:val="annotation reference"/>
    <w:basedOn w:val="a0"/>
    <w:uiPriority w:val="99"/>
    <w:semiHidden/>
    <w:unhideWhenUsed/>
    <w:rsid w:val="003D4616"/>
    <w:rPr>
      <w:sz w:val="21"/>
      <w:szCs w:val="21"/>
    </w:rPr>
  </w:style>
  <w:style w:type="paragraph" w:styleId="af0">
    <w:name w:val="annotation subject"/>
    <w:basedOn w:val="ad"/>
    <w:next w:val="ad"/>
    <w:link w:val="af1"/>
    <w:uiPriority w:val="99"/>
    <w:semiHidden/>
    <w:unhideWhenUsed/>
    <w:rsid w:val="003D4616"/>
    <w:rPr>
      <w:b/>
      <w:bCs/>
    </w:rPr>
  </w:style>
  <w:style w:type="character" w:customStyle="1" w:styleId="af1">
    <w:name w:val="批注主题 字符"/>
    <w:basedOn w:val="ae"/>
    <w:link w:val="af0"/>
    <w:uiPriority w:val="99"/>
    <w:semiHidden/>
    <w:rsid w:val="003D4616"/>
    <w:rPr>
      <w:rFonts w:asciiTheme="minorHAnsi" w:eastAsiaTheme="minorEastAsia" w:hAnsiTheme="minorHAnsi" w:cstheme="minorBidi"/>
      <w:b/>
      <w:bCs/>
      <w:kern w:val="2"/>
      <w:sz w:val="21"/>
      <w:szCs w:val="21"/>
    </w:rPr>
  </w:style>
  <w:style w:type="paragraph" w:styleId="af2">
    <w:name w:val="Normal (Web)"/>
    <w:basedOn w:val="a"/>
    <w:uiPriority w:val="99"/>
    <w:semiHidden/>
    <w:unhideWhenUsed/>
    <w:rsid w:val="003D4616"/>
    <w:pPr>
      <w:spacing w:before="217" w:after="217"/>
    </w:pPr>
    <w:rPr>
      <w:rFonts w:ascii="宋体" w:hAnsi="宋体" w:cs="宋体"/>
    </w:rPr>
  </w:style>
  <w:style w:type="character" w:styleId="af3">
    <w:name w:val="Emphasis"/>
    <w:basedOn w:val="a0"/>
    <w:uiPriority w:val="20"/>
    <w:qFormat/>
    <w:rsid w:val="003D4616"/>
    <w:rPr>
      <w:i/>
      <w:iCs/>
    </w:rPr>
  </w:style>
  <w:style w:type="table" w:styleId="af4">
    <w:name w:val="Table Grid"/>
    <w:basedOn w:val="a1"/>
    <w:rsid w:val="003D4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endnote text"/>
    <w:basedOn w:val="a"/>
    <w:link w:val="af6"/>
    <w:uiPriority w:val="99"/>
    <w:semiHidden/>
    <w:unhideWhenUsed/>
    <w:rsid w:val="003D4616"/>
    <w:pPr>
      <w:snapToGrid w:val="0"/>
    </w:pPr>
  </w:style>
  <w:style w:type="character" w:customStyle="1" w:styleId="af6">
    <w:name w:val="尾注文本 字符"/>
    <w:basedOn w:val="a0"/>
    <w:link w:val="af5"/>
    <w:uiPriority w:val="99"/>
    <w:semiHidden/>
    <w:rsid w:val="003D4616"/>
    <w:rPr>
      <w:rFonts w:asciiTheme="minorHAnsi" w:eastAsiaTheme="minorEastAsia" w:hAnsiTheme="minorHAnsi" w:cstheme="minorBidi"/>
      <w:kern w:val="2"/>
      <w:sz w:val="21"/>
      <w:szCs w:val="21"/>
    </w:rPr>
  </w:style>
  <w:style w:type="character" w:styleId="af7">
    <w:name w:val="endnote reference"/>
    <w:basedOn w:val="a0"/>
    <w:uiPriority w:val="99"/>
    <w:semiHidden/>
    <w:unhideWhenUsed/>
    <w:rsid w:val="003D4616"/>
    <w:rPr>
      <w:vertAlign w:val="superscript"/>
    </w:rPr>
  </w:style>
  <w:style w:type="paragraph" w:styleId="af8">
    <w:name w:val="No Spacing"/>
    <w:uiPriority w:val="1"/>
    <w:qFormat/>
    <w:rsid w:val="003D4616"/>
    <w:pPr>
      <w:suppressAutoHyphens/>
    </w:pPr>
    <w:rPr>
      <w:rFonts w:ascii="Calibri" w:eastAsia="Calibri" w:hAnsi="Calibri" w:cs="Calibri"/>
      <w:sz w:val="22"/>
      <w:szCs w:val="21"/>
      <w:lang w:eastAsia="ar-SA"/>
    </w:rPr>
  </w:style>
  <w:style w:type="paragraph" w:customStyle="1" w:styleId="12">
    <w:name w:val="样式1"/>
    <w:basedOn w:val="a"/>
    <w:qFormat/>
    <w:rsid w:val="003D4616"/>
    <w:pPr>
      <w:snapToGrid w:val="0"/>
      <w:spacing w:line="240" w:lineRule="exact"/>
    </w:pPr>
    <w:rPr>
      <w:rFonts w:ascii="Times New Roman" w:eastAsia="Times New Roman" w:hAnsi="Times New Roman"/>
      <w:sz w:val="18"/>
      <w:szCs w:val="18"/>
      <w:lang w:val="en-GB"/>
    </w:rPr>
  </w:style>
  <w:style w:type="character" w:styleId="af9">
    <w:name w:val="Strong"/>
    <w:basedOn w:val="a0"/>
    <w:uiPriority w:val="22"/>
    <w:qFormat/>
    <w:rsid w:val="003D4616"/>
    <w:rPr>
      <w:b/>
      <w:bCs/>
    </w:rPr>
  </w:style>
  <w:style w:type="paragraph" w:styleId="afa">
    <w:name w:val="footer"/>
    <w:basedOn w:val="a"/>
    <w:link w:val="afb"/>
    <w:uiPriority w:val="99"/>
    <w:unhideWhenUsed/>
    <w:rsid w:val="003D4616"/>
    <w:pPr>
      <w:tabs>
        <w:tab w:val="center" w:pos="4153"/>
        <w:tab w:val="right" w:pos="8306"/>
      </w:tabs>
      <w:snapToGrid w:val="0"/>
    </w:pPr>
    <w:rPr>
      <w:sz w:val="18"/>
      <w:szCs w:val="18"/>
    </w:rPr>
  </w:style>
  <w:style w:type="character" w:customStyle="1" w:styleId="afb">
    <w:name w:val="页脚 字符"/>
    <w:basedOn w:val="a0"/>
    <w:link w:val="afa"/>
    <w:uiPriority w:val="99"/>
    <w:rsid w:val="003D4616"/>
    <w:rPr>
      <w:rFonts w:asciiTheme="minorHAnsi" w:eastAsiaTheme="minorEastAsia" w:hAnsiTheme="minorHAnsi" w:cstheme="minorBidi"/>
      <w:kern w:val="2"/>
      <w:sz w:val="18"/>
      <w:szCs w:val="18"/>
    </w:rPr>
  </w:style>
  <w:style w:type="paragraph" w:styleId="afc">
    <w:name w:val="header"/>
    <w:basedOn w:val="a"/>
    <w:link w:val="afd"/>
    <w:uiPriority w:val="99"/>
    <w:unhideWhenUsed/>
    <w:rsid w:val="003D4616"/>
    <w:pPr>
      <w:pBdr>
        <w:bottom w:val="single" w:sz="6" w:space="1" w:color="auto"/>
      </w:pBdr>
      <w:tabs>
        <w:tab w:val="center" w:pos="4153"/>
        <w:tab w:val="right" w:pos="8306"/>
      </w:tabs>
      <w:snapToGrid w:val="0"/>
      <w:jc w:val="center"/>
    </w:pPr>
    <w:rPr>
      <w:sz w:val="18"/>
      <w:szCs w:val="18"/>
    </w:rPr>
  </w:style>
  <w:style w:type="character" w:customStyle="1" w:styleId="afd">
    <w:name w:val="页眉 字符"/>
    <w:basedOn w:val="a0"/>
    <w:link w:val="afc"/>
    <w:uiPriority w:val="99"/>
    <w:rsid w:val="003D461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97/MD.000000000002763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颜色1">
      <a:dk1>
        <a:sysClr val="windowText" lastClr="000000"/>
      </a:dk1>
      <a:lt1>
        <a:sysClr val="window" lastClr="FFFFFF"/>
      </a:lt1>
      <a:dk2>
        <a:srgbClr val="1F497D"/>
      </a:dk2>
      <a:lt2>
        <a:srgbClr val="EEECE1"/>
      </a:lt2>
      <a:accent1>
        <a:srgbClr val="0000FF"/>
      </a:accent1>
      <a:accent2>
        <a:srgbClr val="006690"/>
      </a:accent2>
      <a:accent3>
        <a:srgbClr val="DAEEF3"/>
      </a:accent3>
      <a:accent4>
        <a:srgbClr val="92CDDC"/>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3816</Words>
  <Characters>21755</Characters>
  <Application>Microsoft Office Word</Application>
  <DocSecurity>0</DocSecurity>
  <Lines>181</Lines>
  <Paragraphs>51</Paragraphs>
  <ScaleCrop>false</ScaleCrop>
  <Company/>
  <LinksUpToDate>false</LinksUpToDate>
  <CharactersWithSpaces>25520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dc:creator>
  <cp:lastModifiedBy>glx</cp:lastModifiedBy>
  <cp:revision>4</cp:revision>
  <dcterms:created xsi:type="dcterms:W3CDTF">2025-11-24T21:48:00Z</dcterms:created>
  <dcterms:modified xsi:type="dcterms:W3CDTF">2025-11-26T10:10:00Z</dcterms:modified>
</cp:coreProperties>
</file>